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4E0E" w:rsidRPr="004F71C5" w:rsidRDefault="00174F58" w:rsidP="004F71C5">
      <w:pPr>
        <w:widowControl/>
        <w:autoSpaceDE/>
        <w:autoSpaceDN/>
        <w:adjustRightInd/>
        <w:spacing w:before="20" w:after="200" w:line="360" w:lineRule="auto"/>
        <w:rPr>
          <w:rFonts w:ascii="Times New Roman" w:eastAsiaTheme="minorHAnsi" w:hAnsi="Times New Roman"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sz w:val="28"/>
          <w:szCs w:val="28"/>
          <w:lang w:eastAsia="en-US"/>
        </w:rPr>
        <w:t>УДК 691.175</w:t>
      </w:r>
    </w:p>
    <w:p w:rsidR="004F71C5" w:rsidRPr="004F71C5" w:rsidRDefault="004F71C5" w:rsidP="004F71C5">
      <w:pPr>
        <w:widowControl/>
        <w:autoSpaceDE/>
        <w:autoSpaceDN/>
        <w:adjustRightInd/>
        <w:spacing w:before="20" w:after="200" w:line="360" w:lineRule="auto"/>
        <w:contextualSpacing/>
        <w:jc w:val="both"/>
        <w:rPr>
          <w:rFonts w:ascii="Times New Roman" w:eastAsiaTheme="minorHAnsi" w:hAnsi="Times New Roman"/>
          <w:b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b/>
          <w:sz w:val="28"/>
          <w:szCs w:val="28"/>
          <w:lang w:eastAsia="en-US"/>
        </w:rPr>
        <w:t>Эффективные композиционные материалы строительного назначения</w:t>
      </w:r>
    </w:p>
    <w:p w:rsidR="00174F58" w:rsidRPr="004F71C5" w:rsidRDefault="00174F58" w:rsidP="004F71C5">
      <w:pPr>
        <w:widowControl/>
        <w:autoSpaceDE/>
        <w:autoSpaceDN/>
        <w:adjustRightInd/>
        <w:spacing w:before="20" w:after="200" w:line="36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sz w:val="28"/>
          <w:szCs w:val="28"/>
          <w:lang w:eastAsia="en-US"/>
        </w:rPr>
        <w:t>Сулейманов А</w:t>
      </w:r>
      <w:r w:rsidR="004F71C5" w:rsidRPr="004F71C5">
        <w:rPr>
          <w:rFonts w:ascii="Times New Roman" w:eastAsiaTheme="minorHAnsi" w:hAnsi="Times New Roman"/>
          <w:sz w:val="28"/>
          <w:szCs w:val="28"/>
          <w:lang w:eastAsia="en-US"/>
        </w:rPr>
        <w:t>.</w:t>
      </w:r>
      <w:r w:rsidRPr="004F71C5">
        <w:rPr>
          <w:rFonts w:ascii="Times New Roman" w:eastAsiaTheme="minorHAnsi" w:hAnsi="Times New Roman"/>
          <w:sz w:val="28"/>
          <w:szCs w:val="28"/>
          <w:lang w:eastAsia="en-US"/>
        </w:rPr>
        <w:t>М</w:t>
      </w:r>
      <w:r w:rsidR="004F71C5" w:rsidRPr="004F71C5">
        <w:rPr>
          <w:rFonts w:ascii="Times New Roman" w:eastAsiaTheme="minorHAnsi" w:hAnsi="Times New Roman"/>
          <w:sz w:val="28"/>
          <w:szCs w:val="28"/>
          <w:lang w:eastAsia="en-US"/>
        </w:rPr>
        <w:t>., д.т.н.</w:t>
      </w:r>
    </w:p>
    <w:p w:rsidR="00174F58" w:rsidRPr="004F71C5" w:rsidRDefault="009F7708" w:rsidP="004F71C5">
      <w:pPr>
        <w:widowControl/>
        <w:autoSpaceDE/>
        <w:autoSpaceDN/>
        <w:adjustRightInd/>
        <w:spacing w:before="20" w:after="200" w:line="360" w:lineRule="auto"/>
        <w:contextualSpacing/>
        <w:jc w:val="both"/>
        <w:rPr>
          <w:rStyle w:val="a4"/>
          <w:rFonts w:eastAsiaTheme="minorHAnsi"/>
          <w:sz w:val="22"/>
          <w:lang w:val="en-US" w:eastAsia="en-US"/>
        </w:rPr>
      </w:pPr>
      <w:hyperlink r:id="rId8" w:history="1">
        <w:r w:rsidR="00174F58" w:rsidRPr="004F71C5">
          <w:rPr>
            <w:rStyle w:val="a4"/>
            <w:rFonts w:ascii="Times New Roman" w:eastAsiaTheme="minorHAnsi" w:hAnsi="Times New Roman"/>
            <w:sz w:val="22"/>
            <w:szCs w:val="28"/>
            <w:lang w:val="en-US" w:eastAsia="en-US"/>
          </w:rPr>
          <w:t>sulejmanov@kgasu.ru</w:t>
        </w:r>
      </w:hyperlink>
    </w:p>
    <w:p w:rsidR="00233ECA" w:rsidRPr="004F71C5" w:rsidRDefault="004F71C5" w:rsidP="004F71C5">
      <w:pPr>
        <w:widowControl/>
        <w:autoSpaceDE/>
        <w:autoSpaceDN/>
        <w:adjustRightInd/>
        <w:spacing w:before="20" w:after="200" w:line="360" w:lineRule="auto"/>
        <w:contextualSpacing/>
        <w:jc w:val="both"/>
        <w:rPr>
          <w:rFonts w:ascii="Times New Roman" w:eastAsiaTheme="minorHAnsi" w:hAnsi="Times New Roman"/>
          <w:i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i/>
          <w:sz w:val="28"/>
          <w:szCs w:val="28"/>
          <w:lang w:eastAsia="en-US"/>
        </w:rPr>
        <w:t xml:space="preserve">ФГБОУ ВПО </w:t>
      </w:r>
      <w:r w:rsidR="00233ECA" w:rsidRPr="004F71C5">
        <w:rPr>
          <w:rFonts w:ascii="Times New Roman" w:eastAsiaTheme="minorHAnsi" w:hAnsi="Times New Roman"/>
          <w:i/>
          <w:sz w:val="28"/>
          <w:szCs w:val="28"/>
          <w:lang w:eastAsia="en-US"/>
        </w:rPr>
        <w:t>Казанский государственный архите</w:t>
      </w:r>
      <w:r w:rsidRPr="004F71C5">
        <w:rPr>
          <w:rFonts w:ascii="Times New Roman" w:eastAsiaTheme="minorHAnsi" w:hAnsi="Times New Roman"/>
          <w:i/>
          <w:sz w:val="28"/>
          <w:szCs w:val="28"/>
          <w:lang w:eastAsia="en-US"/>
        </w:rPr>
        <w:t>ктурно-строительный университет</w:t>
      </w:r>
    </w:p>
    <w:p w:rsidR="0042710B" w:rsidRPr="004F71C5" w:rsidRDefault="0042710B" w:rsidP="0042710B">
      <w:pPr>
        <w:spacing w:line="360" w:lineRule="auto"/>
        <w:jc w:val="center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233ECA" w:rsidRPr="004F71C5" w:rsidRDefault="00233ECA" w:rsidP="004F71C5">
      <w:pPr>
        <w:widowControl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Аннотация</w:t>
      </w:r>
    </w:p>
    <w:p w:rsidR="00233ECA" w:rsidRPr="004F71C5" w:rsidRDefault="0042710B" w:rsidP="004F71C5">
      <w:pPr>
        <w:widowControl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sz w:val="28"/>
          <w:szCs w:val="28"/>
          <w:lang w:eastAsia="en-US"/>
        </w:rPr>
        <w:t xml:space="preserve">В статье представлены разработки ученых КГАСУ в области создания и испытаний полимерных композиционных материалов: наномодифицированные эпоксидные и гибридные органо-неорганические связующие и полимерная композитная арматура на их основе; модифицированные эпоксидные клеевые композиции для систем внешнего армирования строительных конструкций; водные эмульсии эпоксидных смол – для применения в качестве пленкообразующего компонента замасливателей для неорганических волокон; древесно-полимерные композиты на основе ПВХ. Показана их высокая техническая  эффективность по сравнению с аналогами. Обозначены пути увеличения объемов производства и </w:t>
      </w:r>
      <w:r w:rsidR="004F71C5" w:rsidRPr="004F71C5">
        <w:rPr>
          <w:rFonts w:ascii="Times New Roman" w:eastAsiaTheme="minorHAnsi" w:hAnsi="Times New Roman"/>
          <w:sz w:val="28"/>
          <w:szCs w:val="28"/>
          <w:lang w:eastAsia="en-US"/>
        </w:rPr>
        <w:t>потребления ПКМ в строительстве</w:t>
      </w:r>
    </w:p>
    <w:p w:rsidR="004F71C5" w:rsidRPr="004F71C5" w:rsidRDefault="004F71C5" w:rsidP="004F71C5">
      <w:pPr>
        <w:widowControl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Ключевые слова:</w:t>
      </w:r>
    </w:p>
    <w:p w:rsidR="004F71C5" w:rsidRPr="004F71C5" w:rsidRDefault="004F71C5" w:rsidP="004F71C5">
      <w:pPr>
        <w:widowControl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sz w:val="28"/>
          <w:szCs w:val="28"/>
          <w:lang w:eastAsia="en-US"/>
        </w:rPr>
        <w:t>Полимерные композиционные материалы, строительная индустрия, климатические и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спытания, методология испытаний</w:t>
      </w:r>
    </w:p>
    <w:p w:rsidR="004F71C5" w:rsidRPr="004F71C5" w:rsidRDefault="004F71C5" w:rsidP="004F71C5">
      <w:pPr>
        <w:widowControl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9B749D" w:rsidRPr="004F71C5" w:rsidRDefault="004F71C5" w:rsidP="004F71C5">
      <w:pPr>
        <w:widowControl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ascii="Times New Roman" w:eastAsiaTheme="minorHAnsi" w:hAnsi="Times New Roman"/>
          <w:b/>
          <w:i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b/>
          <w:i/>
          <w:sz w:val="28"/>
          <w:szCs w:val="28"/>
          <w:lang w:eastAsia="en-US"/>
        </w:rPr>
        <w:t>Abstract</w:t>
      </w:r>
    </w:p>
    <w:p w:rsidR="0042710B" w:rsidRPr="004F71C5" w:rsidRDefault="009B749D" w:rsidP="004F71C5">
      <w:pPr>
        <w:widowControl/>
        <w:autoSpaceDE/>
        <w:autoSpaceDN/>
        <w:adjustRightInd/>
        <w:spacing w:before="20" w:after="200" w:line="360" w:lineRule="auto"/>
        <w:ind w:firstLine="709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4F71C5">
        <w:rPr>
          <w:rFonts w:ascii="Times New Roman" w:eastAsiaTheme="minorHAnsi" w:hAnsi="Times New Roman"/>
          <w:sz w:val="28"/>
          <w:szCs w:val="28"/>
          <w:lang w:eastAsia="en-US"/>
        </w:rPr>
        <w:t xml:space="preserve">The paper presents the achievements of the KSUAE’s scientists in the development and testing of polymer composites: nanomodified epoxy and hybrid organic-inorganic binders and polymer composite reinforcement based on the binders; modified epoxy adhesive compositions for the systems of external reinforcement of building structures; aqueous emulsions of epoxide </w:t>
      </w:r>
      <w:r w:rsidRPr="004F71C5">
        <w:rPr>
          <w:rFonts w:ascii="Times New Roman" w:eastAsiaTheme="minorHAnsi" w:hAnsi="Times New Roman"/>
          <w:sz w:val="28"/>
          <w:szCs w:val="28"/>
          <w:lang w:eastAsia="en-US"/>
        </w:rPr>
        <w:lastRenderedPageBreak/>
        <w:t>resins – to apply as a binder component for the inorganic fiber lubricants; wood-polymer composites based on PVC. Their high technical efficiency is demonstrated compared to analogs. The ways for increasing of production and consumption of polymer composites in co</w:t>
      </w:r>
      <w:r w:rsidR="004F71C5">
        <w:rPr>
          <w:rFonts w:ascii="Times New Roman" w:eastAsiaTheme="minorHAnsi" w:hAnsi="Times New Roman"/>
          <w:sz w:val="28"/>
          <w:szCs w:val="28"/>
          <w:lang w:eastAsia="en-US"/>
        </w:rPr>
        <w:t>nstruction industry are defined</w:t>
      </w:r>
    </w:p>
    <w:p w:rsidR="004F71C5" w:rsidRDefault="004F71C5" w:rsidP="009B749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4F71C5" w:rsidRPr="004F71C5" w:rsidRDefault="004F71C5" w:rsidP="009B749D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233ECA" w:rsidRPr="002A7B0F" w:rsidRDefault="00233ECA" w:rsidP="004F71C5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A7B0F">
        <w:rPr>
          <w:rFonts w:ascii="Times New Roman" w:hAnsi="Times New Roman"/>
          <w:b/>
          <w:sz w:val="28"/>
          <w:szCs w:val="28"/>
        </w:rPr>
        <w:t>Введение</w:t>
      </w:r>
    </w:p>
    <w:p w:rsidR="00867C97" w:rsidRPr="00867C97" w:rsidRDefault="00867C97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7C97">
        <w:rPr>
          <w:rFonts w:ascii="Times New Roman" w:hAnsi="Times New Roman"/>
          <w:sz w:val="28"/>
          <w:szCs w:val="28"/>
        </w:rPr>
        <w:t xml:space="preserve">Объемы производства и потребления </w:t>
      </w:r>
      <w:r>
        <w:rPr>
          <w:rFonts w:ascii="Times New Roman" w:hAnsi="Times New Roman"/>
          <w:sz w:val="28"/>
          <w:szCs w:val="28"/>
        </w:rPr>
        <w:t>полимерных композиционных материалов (</w:t>
      </w:r>
      <w:r w:rsidRPr="00867C97">
        <w:rPr>
          <w:rFonts w:ascii="Times New Roman" w:hAnsi="Times New Roman"/>
          <w:sz w:val="28"/>
          <w:szCs w:val="28"/>
        </w:rPr>
        <w:t>ПКМ</w:t>
      </w:r>
      <w:r>
        <w:rPr>
          <w:rFonts w:ascii="Times New Roman" w:hAnsi="Times New Roman"/>
          <w:sz w:val="28"/>
          <w:szCs w:val="28"/>
        </w:rPr>
        <w:t>)</w:t>
      </w:r>
      <w:r w:rsidRPr="00867C97">
        <w:rPr>
          <w:rFonts w:ascii="Times New Roman" w:hAnsi="Times New Roman"/>
          <w:sz w:val="28"/>
          <w:szCs w:val="28"/>
        </w:rPr>
        <w:t xml:space="preserve"> в различных отраслях промышленности, в том числе и в строительстве, постоянно возрастают. По разным экспертным оценкам мировой рынок КМ составляет порядка 12-14 млн тонн в год [1,2].</w:t>
      </w:r>
    </w:p>
    <w:p w:rsidR="00867C97" w:rsidRPr="00867C97" w:rsidRDefault="00867C97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7C97">
        <w:rPr>
          <w:rFonts w:ascii="Times New Roman" w:hAnsi="Times New Roman"/>
          <w:sz w:val="28"/>
          <w:szCs w:val="28"/>
        </w:rPr>
        <w:t xml:space="preserve">Объем рынка композиционных материалов в России оценивается десятками тысяч тонн и составляет менее 1% мирового рынка. </w:t>
      </w:r>
    </w:p>
    <w:p w:rsidR="00867C97" w:rsidRPr="00867C97" w:rsidRDefault="002A7B0F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867C97" w:rsidRPr="00867C97">
        <w:rPr>
          <w:rFonts w:ascii="Times New Roman" w:hAnsi="Times New Roman"/>
          <w:sz w:val="28"/>
          <w:szCs w:val="28"/>
        </w:rPr>
        <w:t>коло 30% мирового объема производства полимерных композиционных материалов (~ 4-5 млн тонн) составляет продукция для строительной отрасли.</w:t>
      </w:r>
    </w:p>
    <w:p w:rsidR="00233ECA" w:rsidRDefault="00867C97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67C97">
        <w:rPr>
          <w:rFonts w:ascii="Times New Roman" w:hAnsi="Times New Roman"/>
          <w:sz w:val="28"/>
          <w:szCs w:val="28"/>
        </w:rPr>
        <w:t>Наиболее широко полимерные композиты применяются при строительстве объектов транспортной инфраструктуры и жилищно-коммунального хозяйства, а также в гражданском и промышленном строительстве.</w:t>
      </w:r>
    </w:p>
    <w:p w:rsidR="0059231C" w:rsidRPr="0059231C" w:rsidRDefault="002A7B0F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231C">
        <w:rPr>
          <w:rFonts w:ascii="Times New Roman" w:hAnsi="Times New Roman"/>
          <w:i/>
          <w:sz w:val="28"/>
          <w:szCs w:val="28"/>
        </w:rPr>
        <w:t>В области дорожного строительства и объектов транспортной инфраструктуры</w:t>
      </w:r>
      <w:r w:rsidRPr="002A7B0F">
        <w:rPr>
          <w:rFonts w:ascii="Times New Roman" w:hAnsi="Times New Roman"/>
          <w:sz w:val="28"/>
          <w:szCs w:val="28"/>
        </w:rPr>
        <w:t xml:space="preserve"> применяются следующие изделия из ПКМ:</w:t>
      </w:r>
      <w:r w:rsidR="0059231C" w:rsidRPr="0059231C">
        <w:rPr>
          <w:rFonts w:ascii="Times New Roman" w:hAnsi="Times New Roman"/>
          <w:sz w:val="28"/>
          <w:szCs w:val="28"/>
        </w:rPr>
        <w:t xml:space="preserve"> водоотводные лотки;</w:t>
      </w:r>
      <w:r w:rsidR="0059231C">
        <w:rPr>
          <w:rFonts w:ascii="Times New Roman" w:hAnsi="Times New Roman"/>
          <w:sz w:val="28"/>
          <w:szCs w:val="28"/>
        </w:rPr>
        <w:t xml:space="preserve"> </w:t>
      </w:r>
      <w:r w:rsidR="0059231C" w:rsidRPr="0059231C">
        <w:rPr>
          <w:rFonts w:ascii="Times New Roman" w:hAnsi="Times New Roman"/>
          <w:sz w:val="28"/>
          <w:szCs w:val="28"/>
        </w:rPr>
        <w:t>смотровые и контрольные колодцы из композитных труб;</w:t>
      </w:r>
      <w:r w:rsidR="0059231C">
        <w:rPr>
          <w:rFonts w:ascii="Times New Roman" w:hAnsi="Times New Roman"/>
          <w:sz w:val="28"/>
          <w:szCs w:val="28"/>
        </w:rPr>
        <w:t xml:space="preserve"> </w:t>
      </w:r>
      <w:r w:rsidR="0059231C" w:rsidRPr="0059231C">
        <w:rPr>
          <w:rFonts w:ascii="Times New Roman" w:hAnsi="Times New Roman"/>
          <w:sz w:val="28"/>
          <w:szCs w:val="28"/>
        </w:rPr>
        <w:t>ограждения мостов и пешеходных переходов стеклопластиковыми профилями;</w:t>
      </w:r>
      <w:r w:rsidR="0059231C">
        <w:rPr>
          <w:rFonts w:ascii="Times New Roman" w:hAnsi="Times New Roman"/>
          <w:sz w:val="28"/>
          <w:szCs w:val="28"/>
        </w:rPr>
        <w:t xml:space="preserve"> </w:t>
      </w:r>
      <w:r w:rsidR="0059231C" w:rsidRPr="0059231C">
        <w:rPr>
          <w:rFonts w:ascii="Times New Roman" w:hAnsi="Times New Roman"/>
          <w:sz w:val="28"/>
          <w:szCs w:val="28"/>
        </w:rPr>
        <w:t xml:space="preserve">пешеходные переходы , переезды через а/д и ж/д пути из </w:t>
      </w:r>
      <w:r w:rsidR="0059231C">
        <w:rPr>
          <w:rFonts w:ascii="Times New Roman" w:hAnsi="Times New Roman"/>
          <w:sz w:val="28"/>
          <w:szCs w:val="28"/>
        </w:rPr>
        <w:t>композитов</w:t>
      </w:r>
      <w:r w:rsidR="0059231C" w:rsidRPr="0059231C">
        <w:rPr>
          <w:rFonts w:ascii="Times New Roman" w:hAnsi="Times New Roman"/>
          <w:sz w:val="28"/>
          <w:szCs w:val="28"/>
        </w:rPr>
        <w:t>;</w:t>
      </w:r>
      <w:r w:rsidR="0059231C">
        <w:rPr>
          <w:rFonts w:ascii="Times New Roman" w:hAnsi="Times New Roman"/>
          <w:sz w:val="28"/>
          <w:szCs w:val="28"/>
        </w:rPr>
        <w:t xml:space="preserve"> </w:t>
      </w:r>
      <w:r w:rsidR="0059231C" w:rsidRPr="0059231C">
        <w:rPr>
          <w:rFonts w:ascii="Times New Roman" w:hAnsi="Times New Roman"/>
          <w:sz w:val="28"/>
          <w:szCs w:val="28"/>
        </w:rPr>
        <w:t xml:space="preserve"> ж/д платформы;</w:t>
      </w:r>
    </w:p>
    <w:p w:rsidR="0059231C" w:rsidRPr="002A7B0F" w:rsidRDefault="0059231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полимерная композитная арматура (ПКА)</w:t>
      </w:r>
      <w:r w:rsidRPr="0059231C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</w:t>
      </w:r>
      <w:r w:rsidRPr="0059231C">
        <w:rPr>
          <w:rFonts w:ascii="Times New Roman" w:hAnsi="Times New Roman"/>
          <w:sz w:val="28"/>
          <w:szCs w:val="28"/>
        </w:rPr>
        <w:t>опоры дорожных знаков, рекламных щитов и освещения из армированных пластиков и др.</w:t>
      </w:r>
    </w:p>
    <w:p w:rsidR="0059231C" w:rsidRPr="0059231C" w:rsidRDefault="002A7B0F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9231C">
        <w:rPr>
          <w:rFonts w:ascii="Times New Roman" w:hAnsi="Times New Roman"/>
          <w:i/>
          <w:sz w:val="28"/>
          <w:szCs w:val="28"/>
        </w:rPr>
        <w:t>В области гражданского и промышленного строительства и ЖКХ</w:t>
      </w:r>
      <w:r w:rsidRPr="002A7B0F">
        <w:rPr>
          <w:rFonts w:ascii="Times New Roman" w:hAnsi="Times New Roman"/>
          <w:sz w:val="28"/>
          <w:szCs w:val="28"/>
        </w:rPr>
        <w:t xml:space="preserve"> </w:t>
      </w:r>
      <w:r w:rsidRPr="002A7B0F">
        <w:rPr>
          <w:rFonts w:ascii="Times New Roman" w:hAnsi="Times New Roman"/>
          <w:sz w:val="28"/>
          <w:szCs w:val="28"/>
        </w:rPr>
        <w:lastRenderedPageBreak/>
        <w:t>распространены следующие ПКМ:</w:t>
      </w:r>
      <w:r w:rsidR="0059231C">
        <w:rPr>
          <w:rFonts w:ascii="Times New Roman" w:hAnsi="Times New Roman"/>
          <w:sz w:val="28"/>
          <w:szCs w:val="28"/>
        </w:rPr>
        <w:t xml:space="preserve"> </w:t>
      </w:r>
      <w:r w:rsidR="0059231C" w:rsidRPr="0059231C">
        <w:rPr>
          <w:rFonts w:ascii="Times New Roman" w:hAnsi="Times New Roman"/>
          <w:bCs/>
          <w:sz w:val="28"/>
          <w:szCs w:val="28"/>
        </w:rPr>
        <w:t>стекло- и базальтопластиковые трубы;</w:t>
      </w:r>
    </w:p>
    <w:p w:rsidR="002A7B0F" w:rsidRPr="0059231C" w:rsidRDefault="0059231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теплоизоляционные материалы</w:t>
      </w:r>
      <w:r w:rsidRPr="0059231C">
        <w:rPr>
          <w:rFonts w:ascii="Times New Roman" w:hAnsi="Times New Roman"/>
          <w:bCs/>
          <w:sz w:val="28"/>
          <w:szCs w:val="28"/>
        </w:rPr>
        <w:t xml:space="preserve"> и сэндвич-панели с эффективным утеплителем;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231C">
        <w:rPr>
          <w:rFonts w:ascii="Times New Roman" w:hAnsi="Times New Roman"/>
          <w:bCs/>
          <w:sz w:val="28"/>
          <w:szCs w:val="28"/>
        </w:rPr>
        <w:t>оконные профили (из ПВХ-ком</w:t>
      </w:r>
      <w:r w:rsidR="0042710B">
        <w:rPr>
          <w:rFonts w:ascii="Times New Roman" w:hAnsi="Times New Roman"/>
          <w:bCs/>
          <w:sz w:val="28"/>
          <w:szCs w:val="28"/>
        </w:rPr>
        <w:t>позитов, ДПК, стеклопластиковые</w:t>
      </w:r>
      <w:r w:rsidRPr="0059231C">
        <w:rPr>
          <w:rFonts w:ascii="Times New Roman" w:hAnsi="Times New Roman"/>
          <w:bCs/>
          <w:sz w:val="28"/>
          <w:szCs w:val="28"/>
        </w:rPr>
        <w:t>);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231C">
        <w:rPr>
          <w:rFonts w:ascii="Times New Roman" w:hAnsi="Times New Roman"/>
          <w:bCs/>
          <w:sz w:val="28"/>
          <w:szCs w:val="28"/>
        </w:rPr>
        <w:t>ПКА для применения в качестве гибких связей и силовой арматуры в несущих конструкциях;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231C">
        <w:rPr>
          <w:rFonts w:ascii="Times New Roman" w:hAnsi="Times New Roman"/>
          <w:bCs/>
          <w:sz w:val="28"/>
          <w:szCs w:val="28"/>
        </w:rPr>
        <w:t>отделочные и кровельные</w:t>
      </w:r>
      <w:r>
        <w:rPr>
          <w:rFonts w:ascii="Times New Roman" w:hAnsi="Times New Roman"/>
          <w:bCs/>
          <w:sz w:val="28"/>
          <w:szCs w:val="28"/>
        </w:rPr>
        <w:t>,</w:t>
      </w:r>
      <w:r w:rsidRPr="0059231C">
        <w:rPr>
          <w:rFonts w:ascii="Times New Roman" w:hAnsi="Times New Roman"/>
          <w:bCs/>
          <w:sz w:val="28"/>
          <w:szCs w:val="28"/>
        </w:rPr>
        <w:t xml:space="preserve"> материалы </w:t>
      </w:r>
      <w:r>
        <w:rPr>
          <w:rFonts w:ascii="Times New Roman" w:hAnsi="Times New Roman"/>
          <w:bCs/>
          <w:sz w:val="28"/>
          <w:szCs w:val="28"/>
        </w:rPr>
        <w:t xml:space="preserve">для полов </w:t>
      </w:r>
      <w:r w:rsidRPr="0059231C">
        <w:rPr>
          <w:rFonts w:ascii="Times New Roman" w:hAnsi="Times New Roman"/>
          <w:bCs/>
          <w:sz w:val="28"/>
          <w:szCs w:val="28"/>
        </w:rPr>
        <w:t xml:space="preserve">из </w:t>
      </w:r>
      <w:r>
        <w:rPr>
          <w:rFonts w:ascii="Times New Roman" w:hAnsi="Times New Roman"/>
          <w:bCs/>
          <w:sz w:val="28"/>
          <w:szCs w:val="28"/>
        </w:rPr>
        <w:t>полимерных композитов</w:t>
      </w:r>
      <w:r w:rsidRPr="0059231C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231C">
        <w:rPr>
          <w:rFonts w:ascii="Times New Roman" w:hAnsi="Times New Roman"/>
          <w:bCs/>
          <w:sz w:val="28"/>
          <w:szCs w:val="28"/>
        </w:rPr>
        <w:t xml:space="preserve">клеи для усиления </w:t>
      </w:r>
      <w:r>
        <w:rPr>
          <w:rFonts w:ascii="Times New Roman" w:hAnsi="Times New Roman"/>
          <w:bCs/>
          <w:sz w:val="28"/>
          <w:szCs w:val="28"/>
        </w:rPr>
        <w:t>строительных конструкций</w:t>
      </w:r>
      <w:r w:rsidRPr="0059231C">
        <w:rPr>
          <w:rFonts w:ascii="Times New Roman" w:hAnsi="Times New Roman"/>
          <w:bCs/>
          <w:sz w:val="28"/>
          <w:szCs w:val="28"/>
        </w:rPr>
        <w:t>;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59231C">
        <w:rPr>
          <w:rFonts w:ascii="Times New Roman" w:hAnsi="Times New Roman"/>
          <w:bCs/>
          <w:sz w:val="28"/>
          <w:szCs w:val="28"/>
        </w:rPr>
        <w:t>герметики и др.</w:t>
      </w:r>
    </w:p>
    <w:p w:rsidR="00C5051B" w:rsidRPr="00C5051B" w:rsidRDefault="002A7B0F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A7B0F">
        <w:rPr>
          <w:rFonts w:ascii="Times New Roman" w:hAnsi="Times New Roman"/>
          <w:sz w:val="28"/>
          <w:szCs w:val="28"/>
        </w:rPr>
        <w:t>ПКМ</w:t>
      </w:r>
      <w:r>
        <w:rPr>
          <w:rFonts w:ascii="Times New Roman" w:hAnsi="Times New Roman"/>
          <w:sz w:val="28"/>
          <w:szCs w:val="28"/>
        </w:rPr>
        <w:t xml:space="preserve"> и изделия,</w:t>
      </w:r>
      <w:r w:rsidRPr="002A7B0F">
        <w:rPr>
          <w:rFonts w:ascii="Times New Roman" w:hAnsi="Times New Roman"/>
          <w:sz w:val="28"/>
          <w:szCs w:val="28"/>
        </w:rPr>
        <w:t xml:space="preserve"> применя</w:t>
      </w:r>
      <w:r>
        <w:rPr>
          <w:rFonts w:ascii="Times New Roman" w:hAnsi="Times New Roman"/>
          <w:sz w:val="28"/>
          <w:szCs w:val="28"/>
        </w:rPr>
        <w:t>емые</w:t>
      </w:r>
      <w:r w:rsidRPr="002A7B0F">
        <w:rPr>
          <w:rFonts w:ascii="Times New Roman" w:hAnsi="Times New Roman"/>
          <w:sz w:val="28"/>
          <w:szCs w:val="28"/>
        </w:rPr>
        <w:t xml:space="preserve"> </w:t>
      </w:r>
      <w:r w:rsidRPr="0059231C">
        <w:rPr>
          <w:rFonts w:ascii="Times New Roman" w:hAnsi="Times New Roman"/>
          <w:i/>
          <w:sz w:val="28"/>
          <w:szCs w:val="28"/>
        </w:rPr>
        <w:t>в дизайне архитектурной среды</w:t>
      </w:r>
      <w:r w:rsidRPr="002A7B0F">
        <w:rPr>
          <w:rFonts w:ascii="Times New Roman" w:hAnsi="Times New Roman"/>
          <w:sz w:val="28"/>
          <w:szCs w:val="28"/>
        </w:rPr>
        <w:t>:</w:t>
      </w:r>
      <w:r w:rsidR="00C5051B">
        <w:rPr>
          <w:rFonts w:ascii="Times New Roman" w:hAnsi="Times New Roman"/>
          <w:sz w:val="28"/>
          <w:szCs w:val="28"/>
        </w:rPr>
        <w:t xml:space="preserve"> </w:t>
      </w:r>
      <w:r w:rsidR="00C5051B" w:rsidRPr="00C5051B">
        <w:rPr>
          <w:rFonts w:ascii="Times New Roman" w:hAnsi="Times New Roman"/>
          <w:sz w:val="28"/>
          <w:szCs w:val="28"/>
        </w:rPr>
        <w:t>элементы городского ландшафтного дизайна (фонтаны, вазоны, детские горки и др.);</w:t>
      </w:r>
    </w:p>
    <w:p w:rsidR="00C5051B" w:rsidRDefault="00C5051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5051B">
        <w:rPr>
          <w:rFonts w:ascii="Times New Roman" w:hAnsi="Times New Roman"/>
          <w:sz w:val="28"/>
          <w:szCs w:val="28"/>
        </w:rPr>
        <w:t xml:space="preserve"> скамейки и сидения для стадионов, парков и остановок;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051B">
        <w:rPr>
          <w:rFonts w:ascii="Times New Roman" w:hAnsi="Times New Roman"/>
          <w:sz w:val="28"/>
          <w:szCs w:val="28"/>
        </w:rPr>
        <w:t xml:space="preserve"> элементы вандалостойких сооружений;</w:t>
      </w:r>
      <w:r>
        <w:rPr>
          <w:rFonts w:ascii="Times New Roman" w:hAnsi="Times New Roman"/>
          <w:sz w:val="28"/>
          <w:szCs w:val="28"/>
        </w:rPr>
        <w:t xml:space="preserve"> </w:t>
      </w:r>
      <w:r w:rsidRPr="00C5051B">
        <w:rPr>
          <w:rFonts w:ascii="Times New Roman" w:hAnsi="Times New Roman"/>
          <w:sz w:val="28"/>
          <w:szCs w:val="28"/>
        </w:rPr>
        <w:t>декоративные элементы рекламных конструкций</w:t>
      </w:r>
      <w:r>
        <w:rPr>
          <w:rFonts w:ascii="Times New Roman" w:hAnsi="Times New Roman"/>
          <w:sz w:val="28"/>
          <w:szCs w:val="28"/>
        </w:rPr>
        <w:t xml:space="preserve"> и др.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Среди перспективных разработок ученых Казанского государственного архитектурно-строительного университета (КГАСУ) в области создания и испытаний ПКМ можно выделить </w:t>
      </w:r>
      <w:r w:rsidRPr="003B5E3C">
        <w:rPr>
          <w:rFonts w:ascii="Times New Roman" w:hAnsi="Times New Roman"/>
          <w:sz w:val="28"/>
          <w:szCs w:val="28"/>
        </w:rPr>
        <w:t>2 группы: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5E3C">
        <w:rPr>
          <w:rFonts w:ascii="Times New Roman" w:hAnsi="Times New Roman"/>
          <w:sz w:val="28"/>
          <w:szCs w:val="28"/>
        </w:rPr>
        <w:t>1группа - материалы: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5E3C">
        <w:rPr>
          <w:rFonts w:ascii="Times New Roman" w:hAnsi="Times New Roman"/>
          <w:sz w:val="28"/>
          <w:szCs w:val="28"/>
        </w:rPr>
        <w:t>Наномодифицированные эпоксидные и гибридные органо-неорганические связующие и полимерная композитная арматура на их основе;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5E3C">
        <w:rPr>
          <w:rFonts w:ascii="Times New Roman" w:hAnsi="Times New Roman"/>
          <w:sz w:val="28"/>
          <w:szCs w:val="28"/>
        </w:rPr>
        <w:t>Модифицированные эпоксидные клеевые композиции для систем внешнего армирования строительных конструкций;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5E3C">
        <w:rPr>
          <w:rFonts w:ascii="Times New Roman" w:hAnsi="Times New Roman"/>
          <w:sz w:val="28"/>
          <w:szCs w:val="28"/>
        </w:rPr>
        <w:t>Водные эмульсии эпоксидных смол – для применения в качестве пленкообразующего компонента замасливателей для неорганических волокон;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5E3C">
        <w:rPr>
          <w:rFonts w:ascii="Times New Roman" w:hAnsi="Times New Roman"/>
          <w:sz w:val="28"/>
          <w:szCs w:val="28"/>
        </w:rPr>
        <w:t>Древесно-полимерные композиты на основе ПВХ;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B5E3C">
        <w:rPr>
          <w:rFonts w:ascii="Times New Roman" w:hAnsi="Times New Roman"/>
          <w:sz w:val="28"/>
          <w:szCs w:val="28"/>
        </w:rPr>
        <w:t>Эпоксидные полимеры с эффектом памяти формы.</w:t>
      </w:r>
    </w:p>
    <w:p w:rsidR="003B5E3C" w:rsidRPr="003B5E3C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 группа разработок связана с р</w:t>
      </w:r>
      <w:r w:rsidR="003B5E3C" w:rsidRPr="003B5E3C">
        <w:rPr>
          <w:rFonts w:ascii="Times New Roman" w:hAnsi="Times New Roman"/>
          <w:sz w:val="28"/>
          <w:szCs w:val="28"/>
        </w:rPr>
        <w:t>азвитие</w:t>
      </w:r>
      <w:r>
        <w:rPr>
          <w:rFonts w:ascii="Times New Roman" w:hAnsi="Times New Roman"/>
          <w:sz w:val="28"/>
          <w:szCs w:val="28"/>
        </w:rPr>
        <w:t>м</w:t>
      </w:r>
      <w:r w:rsidR="003B5E3C" w:rsidRPr="003B5E3C">
        <w:rPr>
          <w:rFonts w:ascii="Times New Roman" w:hAnsi="Times New Roman"/>
          <w:sz w:val="28"/>
          <w:szCs w:val="28"/>
        </w:rPr>
        <w:t xml:space="preserve"> методологического инструментария для прогнозирования долговечнос</w:t>
      </w:r>
      <w:r>
        <w:rPr>
          <w:rFonts w:ascii="Times New Roman" w:hAnsi="Times New Roman"/>
          <w:sz w:val="28"/>
          <w:szCs w:val="28"/>
        </w:rPr>
        <w:t xml:space="preserve">ти ПКМ строительного </w:t>
      </w:r>
      <w:r>
        <w:rPr>
          <w:rFonts w:ascii="Times New Roman" w:hAnsi="Times New Roman"/>
          <w:sz w:val="28"/>
          <w:szCs w:val="28"/>
        </w:rPr>
        <w:lastRenderedPageBreak/>
        <w:t>назначения и включает разработку</w:t>
      </w:r>
      <w:r w:rsidR="003B5E3C" w:rsidRPr="003B5E3C">
        <w:rPr>
          <w:rFonts w:ascii="Times New Roman" w:hAnsi="Times New Roman"/>
          <w:sz w:val="28"/>
          <w:szCs w:val="28"/>
        </w:rPr>
        <w:t>: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5E3C">
        <w:rPr>
          <w:rFonts w:ascii="Times New Roman" w:hAnsi="Times New Roman"/>
          <w:sz w:val="28"/>
          <w:szCs w:val="28"/>
        </w:rPr>
        <w:t>-</w:t>
      </w:r>
      <w:r w:rsidRPr="003B5E3C">
        <w:rPr>
          <w:rFonts w:ascii="Times New Roman" w:hAnsi="Times New Roman"/>
          <w:sz w:val="28"/>
          <w:szCs w:val="28"/>
        </w:rPr>
        <w:tab/>
        <w:t>режимов и методик ускоренных климатических испытаний в лабораторных условиях;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5E3C">
        <w:rPr>
          <w:rFonts w:ascii="Times New Roman" w:hAnsi="Times New Roman"/>
          <w:sz w:val="28"/>
          <w:szCs w:val="28"/>
        </w:rPr>
        <w:t>-</w:t>
      </w:r>
      <w:r w:rsidRPr="003B5E3C">
        <w:rPr>
          <w:rFonts w:ascii="Times New Roman" w:hAnsi="Times New Roman"/>
          <w:sz w:val="28"/>
          <w:szCs w:val="28"/>
        </w:rPr>
        <w:tab/>
        <w:t>специализированного аппаратурного  обеспечения и модернизации существующего;</w:t>
      </w:r>
    </w:p>
    <w:p w:rsidR="003B5E3C" w:rsidRPr="003B5E3C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5E3C">
        <w:rPr>
          <w:rFonts w:ascii="Times New Roman" w:hAnsi="Times New Roman"/>
          <w:sz w:val="28"/>
          <w:szCs w:val="28"/>
        </w:rPr>
        <w:t>-</w:t>
      </w:r>
      <w:r w:rsidRPr="003B5E3C">
        <w:rPr>
          <w:rFonts w:ascii="Times New Roman" w:hAnsi="Times New Roman"/>
          <w:sz w:val="28"/>
          <w:szCs w:val="28"/>
        </w:rPr>
        <w:tab/>
        <w:t>структурно-имитационных моделей;</w:t>
      </w:r>
    </w:p>
    <w:p w:rsidR="00C5051B" w:rsidRDefault="003B5E3C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B5E3C">
        <w:rPr>
          <w:rFonts w:ascii="Times New Roman" w:hAnsi="Times New Roman"/>
          <w:sz w:val="28"/>
          <w:szCs w:val="28"/>
        </w:rPr>
        <w:t>-</w:t>
      </w:r>
      <w:r w:rsidRPr="003B5E3C">
        <w:rPr>
          <w:rFonts w:ascii="Times New Roman" w:hAnsi="Times New Roman"/>
          <w:sz w:val="28"/>
          <w:szCs w:val="28"/>
        </w:rPr>
        <w:tab/>
        <w:t xml:space="preserve">рекомендаций по увеличению календарных сроков службы ПКМ в заданных условиях эксплуатации.      </w:t>
      </w:r>
    </w:p>
    <w:p w:rsidR="00C5051B" w:rsidRDefault="00C5051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33ECA" w:rsidRDefault="00233ECA" w:rsidP="004F71C5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A7B0F">
        <w:rPr>
          <w:rFonts w:ascii="Times New Roman" w:hAnsi="Times New Roman"/>
          <w:b/>
          <w:sz w:val="28"/>
          <w:szCs w:val="28"/>
        </w:rPr>
        <w:t>Экспериментальная часть</w:t>
      </w:r>
    </w:p>
    <w:p w:rsid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1CD6">
        <w:rPr>
          <w:rFonts w:ascii="Times New Roman" w:hAnsi="Times New Roman"/>
          <w:i/>
          <w:sz w:val="28"/>
          <w:szCs w:val="28"/>
        </w:rPr>
        <w:t xml:space="preserve">Наномодифицированные эпоксидные и гибридные органо-неорганические связующие и полимерная композитная арматура 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1CD6">
        <w:rPr>
          <w:rFonts w:ascii="Times New Roman" w:hAnsi="Times New Roman"/>
          <w:i/>
          <w:sz w:val="28"/>
          <w:szCs w:val="28"/>
        </w:rPr>
        <w:t>на их основе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 xml:space="preserve">Учеными КГАСУ </w:t>
      </w:r>
      <w:r>
        <w:rPr>
          <w:rFonts w:ascii="Times New Roman" w:hAnsi="Times New Roman"/>
          <w:bCs/>
          <w:sz w:val="28"/>
          <w:szCs w:val="28"/>
        </w:rPr>
        <w:t xml:space="preserve">(д.т.н., проф. Хозин В.Г., к.т.н. Старовойтова И.А., к.т.н. Халикова Р.А., асп. Зыкова Е.С.) </w:t>
      </w:r>
      <w:r w:rsidRPr="00A672DB">
        <w:rPr>
          <w:rFonts w:ascii="Times New Roman" w:hAnsi="Times New Roman"/>
          <w:bCs/>
          <w:sz w:val="28"/>
          <w:szCs w:val="28"/>
        </w:rPr>
        <w:t xml:space="preserve">разработаны модифицированные эпоксидные композиты с улучшенным комплексом физико-механических характеристик и гибридные органо-неорганические связующие для применения в качестве связующих при изготовлении полимерной композитной арматуры. 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 xml:space="preserve">В качестве модифицирующих добавок использованы концентраты многослойных УНТ (производитель – </w:t>
      </w:r>
      <w:r>
        <w:rPr>
          <w:rFonts w:ascii="Times New Roman" w:hAnsi="Times New Roman"/>
          <w:bCs/>
          <w:sz w:val="28"/>
          <w:szCs w:val="28"/>
        </w:rPr>
        <w:t xml:space="preserve">французская компания </w:t>
      </w:r>
      <w:r w:rsidRPr="00A672DB">
        <w:rPr>
          <w:rFonts w:ascii="Times New Roman" w:hAnsi="Times New Roman"/>
          <w:bCs/>
          <w:sz w:val="28"/>
          <w:szCs w:val="28"/>
        </w:rPr>
        <w:t>«Arkema») в различных средах-носителях.</w:t>
      </w:r>
      <w:r w:rsidRPr="00A672D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>Гибридные связующие</w:t>
      </w:r>
      <w:r w:rsidRPr="00A672D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672DB">
        <w:rPr>
          <w:rFonts w:ascii="Times New Roman" w:hAnsi="Times New Roman"/>
          <w:bCs/>
          <w:sz w:val="28"/>
          <w:szCs w:val="28"/>
        </w:rPr>
        <w:t xml:space="preserve">на основе полиизоцианата (ПИЦ) и полисиликата натрия (ПН) представляют собой микрогетерогенные системы, как в жидком состоянии, так и в отвержденном. Дисперсионной средой является ПИЦ, дисперсная фаза представлена дисперсией коллоидного кремнезёма в растворе щелочи. При отверждении связующих образуются следующие продукты: ПУ, полимочевина, триизоцианурат, поликремниевая кислота и др. При введении концентратов УНТ в </w:t>
      </w:r>
      <w:r w:rsidRPr="00A672DB">
        <w:rPr>
          <w:rFonts w:ascii="Times New Roman" w:hAnsi="Times New Roman"/>
          <w:bCs/>
          <w:sz w:val="28"/>
          <w:szCs w:val="28"/>
        </w:rPr>
        <w:lastRenderedPageBreak/>
        <w:t xml:space="preserve">гибридном связующем снижается относительное содержание уретановых групп с 56 до 8-15 % и возрастает суммарное содержание более термостойких мочевинных групп и </w:t>
      </w:r>
      <w:r>
        <w:rPr>
          <w:rFonts w:ascii="Times New Roman" w:hAnsi="Times New Roman"/>
          <w:bCs/>
          <w:sz w:val="28"/>
          <w:szCs w:val="28"/>
        </w:rPr>
        <w:t>триизоцианурата</w:t>
      </w:r>
      <w:r w:rsidRPr="00A672DB">
        <w:rPr>
          <w:rFonts w:ascii="Times New Roman" w:hAnsi="Times New Roman"/>
          <w:bCs/>
          <w:sz w:val="28"/>
          <w:szCs w:val="28"/>
        </w:rPr>
        <w:t>.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Фазовая структура отвержденных связующих была изучена методом сканирующей электронной микроскопии (СЭМ). При введении УНТ фазовая структура становится более однородной, сокращается средний размер частиц дисперсной фазы – в 1,5-2 раза – с 4,5 мкм до 2,3 мкм, максимальный размер частиц уменьшается в 1,5-3 раза. Такие изменения в фазовой структуре положительно отражаются и на физико-механических характеристиках: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- прочность при сжатии гибридного связующего возрастает на 40 %,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- при изгибе – на 63 %,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- теплостойкость на 17 %,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- а адгезия к волокну – на 35%.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Несколько меньший технический эффект достигнут при модифицировании эпоксидных связующих: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- прочность при сжатии возрастает на 20 %,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- при изгибе – на 60 %,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- теплостойкость на 35 %,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- а адгезия к волокну – на 32%.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На основе связующих обоих типов изготовлена в лабораторных условиях и испытана на соответствие ГОСТ</w:t>
      </w:r>
      <w:r>
        <w:rPr>
          <w:rFonts w:ascii="Times New Roman" w:hAnsi="Times New Roman"/>
          <w:sz w:val="28"/>
          <w:szCs w:val="28"/>
        </w:rPr>
        <w:t xml:space="preserve"> 31938-2012</w:t>
      </w:r>
      <w:r w:rsidRPr="00A672DB">
        <w:rPr>
          <w:rFonts w:ascii="Times New Roman" w:hAnsi="Times New Roman"/>
          <w:sz w:val="28"/>
          <w:szCs w:val="28"/>
        </w:rPr>
        <w:t>. Данные приведены в таблице</w:t>
      </w:r>
      <w:r>
        <w:rPr>
          <w:rFonts w:ascii="Times New Roman" w:hAnsi="Times New Roman"/>
          <w:sz w:val="28"/>
          <w:szCs w:val="28"/>
        </w:rPr>
        <w:t xml:space="preserve"> 1</w:t>
      </w:r>
      <w:r w:rsidRPr="00A672DB">
        <w:rPr>
          <w:rFonts w:ascii="Times New Roman" w:hAnsi="Times New Roman"/>
          <w:sz w:val="28"/>
          <w:szCs w:val="28"/>
        </w:rPr>
        <w:t>.</w:t>
      </w:r>
    </w:p>
    <w:p w:rsid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672DB">
        <w:rPr>
          <w:rFonts w:ascii="Times New Roman" w:hAnsi="Times New Roman"/>
          <w:sz w:val="28"/>
          <w:szCs w:val="28"/>
        </w:rPr>
        <w:t>Полученные образцы ПКА по комплексу свойств соответствуют ГОСТ, а по прочности при поперечном срезе и теплостойкости лучше аналогов.</w:t>
      </w:r>
    </w:p>
    <w:p w:rsidR="004F71C5" w:rsidRDefault="004F71C5" w:rsidP="00A672DB">
      <w:pPr>
        <w:spacing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71C5" w:rsidRDefault="004F71C5" w:rsidP="00A672DB">
      <w:pPr>
        <w:spacing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4F71C5" w:rsidRDefault="004F71C5" w:rsidP="00A672DB">
      <w:pPr>
        <w:spacing w:line="36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A672DB" w:rsidRPr="004F71C5" w:rsidRDefault="00A672DB" w:rsidP="00A672DB">
      <w:pPr>
        <w:spacing w:line="360" w:lineRule="auto"/>
        <w:ind w:firstLine="567"/>
        <w:jc w:val="right"/>
        <w:rPr>
          <w:rFonts w:ascii="Times New Roman" w:hAnsi="Times New Roman"/>
          <w:szCs w:val="28"/>
        </w:rPr>
      </w:pPr>
      <w:r w:rsidRPr="004F71C5">
        <w:rPr>
          <w:rFonts w:ascii="Times New Roman" w:hAnsi="Times New Roman"/>
          <w:szCs w:val="28"/>
        </w:rPr>
        <w:lastRenderedPageBreak/>
        <w:t>Таблица 1</w:t>
      </w:r>
    </w:p>
    <w:tbl>
      <w:tblPr>
        <w:tblW w:w="9764" w:type="dxa"/>
        <w:tblCellMar>
          <w:left w:w="0" w:type="dxa"/>
          <w:right w:w="0" w:type="dxa"/>
        </w:tblCellMar>
        <w:tblLook w:val="04A0"/>
      </w:tblPr>
      <w:tblGrid>
        <w:gridCol w:w="2085"/>
        <w:gridCol w:w="1559"/>
        <w:gridCol w:w="1559"/>
        <w:gridCol w:w="1584"/>
        <w:gridCol w:w="1393"/>
        <w:gridCol w:w="1584"/>
      </w:tblGrid>
      <w:tr w:rsidR="00A672DB" w:rsidRPr="00A672DB" w:rsidTr="00A672DB">
        <w:trPr>
          <w:trHeight w:val="445"/>
        </w:trPr>
        <w:tc>
          <w:tcPr>
            <w:tcW w:w="20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Наименование свойства</w:t>
            </w:r>
          </w:p>
        </w:tc>
        <w:tc>
          <w:tcPr>
            <w:tcW w:w="76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Тип связующего:</w:t>
            </w:r>
          </w:p>
        </w:tc>
      </w:tr>
      <w:tr w:rsidR="00A672DB" w:rsidRPr="00A672DB" w:rsidTr="00A672DB">
        <w:trPr>
          <w:trHeight w:val="1136"/>
        </w:trPr>
        <w:tc>
          <w:tcPr>
            <w:tcW w:w="20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672DB" w:rsidRPr="00A672DB" w:rsidRDefault="00A672DB" w:rsidP="00A672D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Норма по ГОСТ 31938-2012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Промышлен-ные аналоги на ЭС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Э</w:t>
            </w:r>
            <w:r w:rsidRPr="00A672DB">
              <w:rPr>
                <w:rFonts w:ascii="Times New Roman" w:hAnsi="Times New Roman"/>
                <w:bCs/>
              </w:rPr>
              <w:t xml:space="preserve">поксидное, </w:t>
            </w:r>
            <w:r>
              <w:rPr>
                <w:rFonts w:ascii="Times New Roman" w:hAnsi="Times New Roman"/>
                <w:bCs/>
              </w:rPr>
              <w:t>модифициро-</w:t>
            </w:r>
            <w:r w:rsidRPr="00A672DB">
              <w:rPr>
                <w:rFonts w:ascii="Times New Roman" w:hAnsi="Times New Roman"/>
                <w:bCs/>
              </w:rPr>
              <w:t>ванное МУНТ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>Гибрид</w:t>
            </w:r>
            <w:r w:rsidRPr="00A672DB">
              <w:rPr>
                <w:rFonts w:ascii="Times New Roman" w:hAnsi="Times New Roman"/>
                <w:bCs/>
              </w:rPr>
              <w:t>ное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гибридное, модифициро-ванное МУНТ</w:t>
            </w:r>
          </w:p>
        </w:tc>
      </w:tr>
      <w:tr w:rsidR="00A672DB" w:rsidRPr="00A672DB" w:rsidTr="00A672DB">
        <w:trPr>
          <w:trHeight w:val="460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Плотность, кг/см</w:t>
            </w:r>
            <w:r w:rsidRPr="00A672DB">
              <w:rPr>
                <w:rFonts w:ascii="Times New Roman" w:hAnsi="Times New Roman"/>
                <w:bCs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не нормируется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1900-2100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1950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1750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1870</w:t>
            </w:r>
          </w:p>
        </w:tc>
      </w:tr>
      <w:tr w:rsidR="00A672DB" w:rsidRPr="00A672DB" w:rsidTr="00A672DB">
        <w:trPr>
          <w:trHeight w:val="503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Прочность при растяжении, МПа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не менее 800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850-1200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1200-1300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850-900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1050-1200</w:t>
            </w:r>
          </w:p>
        </w:tc>
      </w:tr>
      <w:tr w:rsidR="00A672DB" w:rsidRPr="00A672DB" w:rsidTr="00A672DB">
        <w:trPr>
          <w:trHeight w:val="462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Модуль упругости, ГПа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не менее 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45-52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50-55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53-54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51-53</w:t>
            </w:r>
          </w:p>
        </w:tc>
      </w:tr>
      <w:tr w:rsidR="00A672DB" w:rsidRPr="00A672DB" w:rsidTr="00A672DB">
        <w:trPr>
          <w:trHeight w:val="404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Прочность при поперечном изгибе, МПа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-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1000-1300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1200-1350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1100-1200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1280-1400</w:t>
            </w:r>
          </w:p>
        </w:tc>
      </w:tr>
      <w:tr w:rsidR="00A672DB" w:rsidRPr="00A672DB" w:rsidTr="00A672DB">
        <w:trPr>
          <w:trHeight w:val="404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Прочность при поперечном срезе, МПа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не менее 150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150-250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350-400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310-315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430-450</w:t>
            </w:r>
          </w:p>
        </w:tc>
      </w:tr>
      <w:tr w:rsidR="00A672DB" w:rsidRPr="00A672DB" w:rsidTr="00A672DB">
        <w:trPr>
          <w:trHeight w:val="467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 xml:space="preserve">Предельная температура эксплуатации, </w:t>
            </w:r>
            <w:r w:rsidRPr="00A672DB">
              <w:rPr>
                <w:rFonts w:ascii="Times New Roman" w:hAnsi="Times New Roman"/>
                <w:bCs/>
                <w:vertAlign w:val="superscript"/>
              </w:rPr>
              <w:t>0</w:t>
            </w:r>
            <w:r w:rsidRPr="00A672DB">
              <w:rPr>
                <w:rFonts w:ascii="Times New Roman" w:hAnsi="Times New Roman"/>
                <w:bCs/>
              </w:rPr>
              <w:t xml:space="preserve"> С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не менее 60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80-100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100-110</w:t>
            </w:r>
          </w:p>
        </w:tc>
        <w:tc>
          <w:tcPr>
            <w:tcW w:w="2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выше 200</w:t>
            </w:r>
          </w:p>
        </w:tc>
      </w:tr>
      <w:tr w:rsidR="00A672DB" w:rsidRPr="00A672DB" w:rsidTr="00A672DB">
        <w:trPr>
          <w:trHeight w:val="467"/>
        </w:trPr>
        <w:tc>
          <w:tcPr>
            <w:tcW w:w="20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Изменение прочности при растяжении после выдержки в щелочи при 60</w:t>
            </w:r>
            <w:r w:rsidRPr="00A672DB">
              <w:rPr>
                <w:rFonts w:ascii="Times New Roman" w:hAnsi="Times New Roman"/>
                <w:bCs/>
                <w:vertAlign w:val="superscript"/>
              </w:rPr>
              <w:t>0</w:t>
            </w:r>
            <w:r w:rsidRPr="00A672DB">
              <w:rPr>
                <w:rFonts w:ascii="Times New Roman" w:hAnsi="Times New Roman"/>
                <w:bCs/>
              </w:rPr>
              <w:t xml:space="preserve"> С, %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не более 25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10-20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5-10</w:t>
            </w:r>
          </w:p>
        </w:tc>
        <w:tc>
          <w:tcPr>
            <w:tcW w:w="13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5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0E5B54" w:rsidRPr="00A672DB" w:rsidRDefault="00A672DB" w:rsidP="00A672DB">
            <w:pPr>
              <w:jc w:val="center"/>
              <w:rPr>
                <w:rFonts w:ascii="Times New Roman" w:hAnsi="Times New Roman"/>
              </w:rPr>
            </w:pPr>
            <w:r w:rsidRPr="00A672DB">
              <w:rPr>
                <w:rFonts w:ascii="Times New Roman" w:hAnsi="Times New Roman"/>
                <w:bCs/>
              </w:rPr>
              <w:t>15</w:t>
            </w:r>
          </w:p>
        </w:tc>
      </w:tr>
    </w:tbl>
    <w:p w:rsidR="00A672DB" w:rsidRDefault="00A672DB" w:rsidP="00174F58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1CD6">
        <w:rPr>
          <w:rFonts w:ascii="Times New Roman" w:hAnsi="Times New Roman"/>
          <w:i/>
          <w:sz w:val="28"/>
          <w:szCs w:val="28"/>
        </w:rPr>
        <w:t>Модифицированные эпоксидные клеевые композиции для систем внешнего армирования строительных конструкций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>Системы внешнего армирования материалами на основе углеродных (реже – стеклянных) волокон предназначены для ремонта и усиления несущих конструкций с целью устранения последствий разрушения бетона и коррозии арматуры в результате длительного воздействия климатических факторов и агрессивных сред в процессе эксплуатации зданий и сооружений.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 xml:space="preserve">Технология внешнего армирования включает наклеивание высокопрочных углеродных или стеклянных материалов (тканей, лент, композитных ламелей) на поверхность усиливаемой конструкции с </w:t>
      </w:r>
      <w:r w:rsidRPr="00A672DB">
        <w:rPr>
          <w:rFonts w:ascii="Times New Roman" w:hAnsi="Times New Roman"/>
          <w:bCs/>
          <w:sz w:val="28"/>
          <w:szCs w:val="28"/>
        </w:rPr>
        <w:lastRenderedPageBreak/>
        <w:t>помощью эпоксидных компаундов.</w:t>
      </w:r>
    </w:p>
    <w:p w:rsid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>Учёными КГАСУ совместно с ООО «НПФ «Рекон» разработаны модифицированные эпоксидные клеевые композиции, обладающие высокой конкурентоспособностью по сравнению с промышленными аналогами. При сопоставимом с зарубежными аналогами комплексе свойств в целом разработанные композиты обладают большей прочностью на сжатие – не менее 110 МПа, для аналогов – 60-75 МПа и 60-90 МПа, а также существенно меньшей стоимостью.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Водные эмульсии эпоксидных смол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Следующая совместная разработка ученых КГАСУ (к.т.н. Старовойтова И.А., асп. Зыкова Е.С. и др.) и ООО «НПФ «Рекон» (Семенов А.Н., к.т.н. Дрогун А.В., Фирсова Е.Б.) – водные эмульсии эпоксидных смол повышенной стабильности, без применения органических растворителей.  П</w:t>
      </w:r>
      <w:r w:rsidRPr="00A672DB">
        <w:rPr>
          <w:rFonts w:ascii="Times New Roman" w:hAnsi="Times New Roman"/>
          <w:bCs/>
          <w:sz w:val="28"/>
          <w:szCs w:val="28"/>
        </w:rPr>
        <w:t>рактически реализован</w:t>
      </w:r>
      <w:r>
        <w:rPr>
          <w:rFonts w:ascii="Times New Roman" w:hAnsi="Times New Roman"/>
          <w:bCs/>
          <w:sz w:val="28"/>
          <w:szCs w:val="28"/>
        </w:rPr>
        <w:t>ы</w:t>
      </w:r>
      <w:r w:rsidRPr="00A672DB">
        <w:rPr>
          <w:rFonts w:ascii="Times New Roman" w:hAnsi="Times New Roman"/>
          <w:bCs/>
          <w:sz w:val="28"/>
          <w:szCs w:val="28"/>
        </w:rPr>
        <w:t xml:space="preserve"> направления их практического применения в качестве: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>- пленкообразователя в составах замасливателей, наносимых на неорганические (стеклянные, базальтовые) волокна;</w:t>
      </w:r>
    </w:p>
    <w:p w:rsid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>- добавки при изготовлении полимерцементных растворов и полимербетонов.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Среди требований, </w:t>
      </w:r>
      <w:r w:rsidRPr="00A672DB">
        <w:rPr>
          <w:rFonts w:ascii="Times New Roman" w:hAnsi="Times New Roman"/>
          <w:bCs/>
          <w:sz w:val="28"/>
          <w:szCs w:val="28"/>
        </w:rPr>
        <w:t>предъявляемы</w:t>
      </w:r>
      <w:r>
        <w:rPr>
          <w:rFonts w:ascii="Times New Roman" w:hAnsi="Times New Roman"/>
          <w:bCs/>
          <w:sz w:val="28"/>
          <w:szCs w:val="28"/>
        </w:rPr>
        <w:t>х</w:t>
      </w:r>
      <w:r w:rsidRPr="00A672DB">
        <w:rPr>
          <w:rFonts w:ascii="Times New Roman" w:hAnsi="Times New Roman"/>
          <w:bCs/>
          <w:sz w:val="28"/>
          <w:szCs w:val="28"/>
        </w:rPr>
        <w:t xml:space="preserve"> к пленкообразующему компоненту замасливателей: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A672DB">
        <w:rPr>
          <w:rFonts w:ascii="Times New Roman" w:hAnsi="Times New Roman"/>
          <w:bCs/>
          <w:sz w:val="28"/>
          <w:szCs w:val="28"/>
        </w:rPr>
        <w:t>высокая коллоидно-химическая устойчивость (определяется размером частиц дисперсной фазы и стабильностью);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A672DB">
        <w:rPr>
          <w:rFonts w:ascii="Times New Roman" w:hAnsi="Times New Roman"/>
          <w:bCs/>
          <w:sz w:val="28"/>
          <w:szCs w:val="28"/>
        </w:rPr>
        <w:t xml:space="preserve">совместимость с другими компонентами замасливателя (органосиланами, ПАВ и др.); 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A672DB">
        <w:rPr>
          <w:rFonts w:ascii="Times New Roman" w:hAnsi="Times New Roman"/>
          <w:bCs/>
          <w:sz w:val="28"/>
          <w:szCs w:val="28"/>
        </w:rPr>
        <w:t>хорошее распределение на поверхности волокна, склеивание элементарных волокон в нить и образование эластичной и стойкой к механическим воздействиям при переработке пленки;</w:t>
      </w:r>
    </w:p>
    <w:p w:rsidR="00A672DB" w:rsidRP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Pr="00A672DB">
        <w:rPr>
          <w:rFonts w:ascii="Times New Roman" w:hAnsi="Times New Roman"/>
          <w:bCs/>
          <w:sz w:val="28"/>
          <w:szCs w:val="28"/>
        </w:rPr>
        <w:t xml:space="preserve">обеспечение адгезии между армирующим наполнителем </w:t>
      </w:r>
      <w:r w:rsidRPr="00A672DB">
        <w:rPr>
          <w:rFonts w:ascii="Times New Roman" w:hAnsi="Times New Roman"/>
          <w:bCs/>
          <w:sz w:val="28"/>
          <w:szCs w:val="28"/>
        </w:rPr>
        <w:lastRenderedPageBreak/>
        <w:t>(стеклянным, базальтовым волокном) и связующим.</w:t>
      </w:r>
    </w:p>
    <w:p w:rsidR="00A672DB" w:rsidRDefault="00A672D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A672DB">
        <w:rPr>
          <w:rFonts w:ascii="Times New Roman" w:hAnsi="Times New Roman"/>
          <w:bCs/>
          <w:sz w:val="28"/>
          <w:szCs w:val="28"/>
        </w:rPr>
        <w:t>Сегодня на рынке доминирует продукция зарубежных производителей под торговыми марками Neoxil (DSM, Нидерланды), Filco (Coim, Италия) и EPI-REZ™ Resin (Momentive, США). Однако, эмульсии, обладающие высокой коллоидно-химической устойчивостью, получены с применением органических растворителей.</w:t>
      </w:r>
    </w:p>
    <w:p w:rsid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Наномодификация водных эмульсий эпоксидных смол (без применения органических растворителей!) позволила значительно повысить их коллоидно-химическую устойчивость за счет снижения среднего размера частиц и увеличения стабильности, а также улучшить распределение на волокне и снизить расход.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Наномодификация водных эмульсий эпоксидных смол осуществлялась двумя способами: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-</w:t>
      </w:r>
      <w:r w:rsidRPr="00661CD6">
        <w:rPr>
          <w:rFonts w:ascii="Times New Roman" w:hAnsi="Times New Roman"/>
          <w:bCs/>
          <w:sz w:val="28"/>
          <w:szCs w:val="28"/>
        </w:rPr>
        <w:tab/>
        <w:t>введением УНТ в эпоксидную смолу перед ее диспергированием в водном растворе ПАВ;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-</w:t>
      </w:r>
      <w:r w:rsidRPr="00661CD6">
        <w:rPr>
          <w:rFonts w:ascii="Times New Roman" w:hAnsi="Times New Roman"/>
          <w:bCs/>
          <w:sz w:val="28"/>
          <w:szCs w:val="28"/>
        </w:rPr>
        <w:tab/>
        <w:t xml:space="preserve"> введением кремнезоля в водный раствор ПАВ с дальнейшим диспергированием в нем эпоксидной смолы.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При введении 0,5-2,0 масс.ч. КЗ на 100 масс.ч. ЭС средний размер частиц сократился с 0,74 мкм до 0,36-0,39 мкм; при введении 0,01 масс.ч. УНТ на 100 масс.ч. Средний размер частиц составил 0,49 мкм.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 xml:space="preserve">Расход эмульсии при нанесении её на неорганические волокна сократился в 1,5-2 раза. </w:t>
      </w:r>
    </w:p>
    <w:p w:rsid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661CD6">
        <w:rPr>
          <w:rFonts w:ascii="Times New Roman" w:hAnsi="Times New Roman"/>
          <w:i/>
          <w:sz w:val="28"/>
          <w:szCs w:val="28"/>
        </w:rPr>
        <w:t xml:space="preserve">Древесно-полимерные композиты </w:t>
      </w:r>
      <w:r>
        <w:rPr>
          <w:rFonts w:ascii="Times New Roman" w:hAnsi="Times New Roman"/>
          <w:i/>
          <w:sz w:val="28"/>
          <w:szCs w:val="28"/>
        </w:rPr>
        <w:t xml:space="preserve">(ДПК) </w:t>
      </w:r>
      <w:r w:rsidRPr="00661CD6">
        <w:rPr>
          <w:rFonts w:ascii="Times New Roman" w:hAnsi="Times New Roman"/>
          <w:i/>
          <w:sz w:val="28"/>
          <w:szCs w:val="28"/>
        </w:rPr>
        <w:t>на основе ПВХ</w:t>
      </w:r>
    </w:p>
    <w:p w:rsid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таблице 2</w:t>
      </w:r>
      <w:r w:rsidRPr="00661CD6">
        <w:rPr>
          <w:rFonts w:ascii="Times New Roman" w:hAnsi="Times New Roman"/>
          <w:bCs/>
          <w:sz w:val="28"/>
          <w:szCs w:val="28"/>
        </w:rPr>
        <w:t xml:space="preserve"> приведены характеристики различных древесно-наполненных материалов. Как видно, ДПК на основе ПВХ выгодно отличается от ДПК на основе ПЭ, а также ДСП и МДФ более высокими физико-механическими показателями и стойкостью к воздействию влаги.</w:t>
      </w:r>
    </w:p>
    <w:p w:rsidR="004F71C5" w:rsidRDefault="004F71C5" w:rsidP="00661CD6">
      <w:pPr>
        <w:spacing w:line="360" w:lineRule="auto"/>
        <w:ind w:firstLine="567"/>
        <w:jc w:val="right"/>
        <w:rPr>
          <w:rFonts w:ascii="Times New Roman" w:hAnsi="Times New Roman"/>
          <w:bCs/>
          <w:sz w:val="28"/>
          <w:szCs w:val="28"/>
        </w:rPr>
      </w:pPr>
    </w:p>
    <w:p w:rsidR="004F71C5" w:rsidRDefault="004F71C5" w:rsidP="00661CD6">
      <w:pPr>
        <w:spacing w:line="360" w:lineRule="auto"/>
        <w:ind w:firstLine="567"/>
        <w:jc w:val="right"/>
        <w:rPr>
          <w:rFonts w:ascii="Times New Roman" w:hAnsi="Times New Roman"/>
          <w:bCs/>
          <w:sz w:val="28"/>
          <w:szCs w:val="28"/>
        </w:rPr>
      </w:pPr>
    </w:p>
    <w:p w:rsidR="00661CD6" w:rsidRPr="004F71C5" w:rsidRDefault="00661CD6" w:rsidP="00661CD6">
      <w:pPr>
        <w:spacing w:line="360" w:lineRule="auto"/>
        <w:ind w:firstLine="567"/>
        <w:jc w:val="right"/>
        <w:rPr>
          <w:rFonts w:ascii="Times New Roman" w:hAnsi="Times New Roman"/>
          <w:bCs/>
          <w:szCs w:val="28"/>
        </w:rPr>
      </w:pPr>
      <w:r w:rsidRPr="004F71C5">
        <w:rPr>
          <w:rFonts w:ascii="Times New Roman" w:hAnsi="Times New Roman"/>
          <w:bCs/>
          <w:szCs w:val="28"/>
        </w:rPr>
        <w:lastRenderedPageBreak/>
        <w:t>Таблица 2</w:t>
      </w:r>
    </w:p>
    <w:tbl>
      <w:tblPr>
        <w:tblW w:w="92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405"/>
        <w:gridCol w:w="1275"/>
        <w:gridCol w:w="1134"/>
        <w:gridCol w:w="1843"/>
        <w:gridCol w:w="1559"/>
      </w:tblGrid>
      <w:tr w:rsidR="00DD242D" w:rsidRPr="00661CD6" w:rsidTr="00DD242D">
        <w:trPr>
          <w:trHeight w:val="533"/>
        </w:trPr>
        <w:tc>
          <w:tcPr>
            <w:tcW w:w="340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Показатель</w:t>
            </w:r>
          </w:p>
        </w:tc>
        <w:tc>
          <w:tcPr>
            <w:tcW w:w="1275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ДСП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МДФ</w:t>
            </w:r>
          </w:p>
        </w:tc>
        <w:tc>
          <w:tcPr>
            <w:tcW w:w="3402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ДПК на основе</w:t>
            </w:r>
          </w:p>
        </w:tc>
      </w:tr>
      <w:tr w:rsidR="00DD242D" w:rsidRPr="00661CD6" w:rsidTr="00DD242D">
        <w:trPr>
          <w:trHeight w:val="535"/>
        </w:trPr>
        <w:tc>
          <w:tcPr>
            <w:tcW w:w="3405" w:type="dxa"/>
            <w:vMerge/>
            <w:vAlign w:val="center"/>
            <w:hideMark/>
          </w:tcPr>
          <w:p w:rsidR="00661CD6" w:rsidRPr="00661CD6" w:rsidRDefault="00661CD6" w:rsidP="00661CD6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661CD6" w:rsidRPr="00661CD6" w:rsidRDefault="00661CD6" w:rsidP="00661CD6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661CD6" w:rsidRPr="00661CD6" w:rsidRDefault="00661CD6" w:rsidP="00661CD6">
            <w:pPr>
              <w:widowControl/>
              <w:autoSpaceDE/>
              <w:autoSpaceDN/>
              <w:adjustRightInd/>
              <w:rPr>
                <w:rFonts w:ascii="Times New Roman" w:hAnsi="Times New Roman"/>
              </w:rPr>
            </w:pP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ПЭВП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ПВХ</w:t>
            </w:r>
          </w:p>
        </w:tc>
      </w:tr>
      <w:tr w:rsidR="00661CD6" w:rsidRPr="00661CD6" w:rsidTr="00DD242D">
        <w:trPr>
          <w:trHeight w:val="333"/>
        </w:trPr>
        <w:tc>
          <w:tcPr>
            <w:tcW w:w="34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Способ получения</w:t>
            </w:r>
          </w:p>
        </w:tc>
        <w:tc>
          <w:tcPr>
            <w:tcW w:w="240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прессование</w:t>
            </w:r>
          </w:p>
        </w:tc>
        <w:tc>
          <w:tcPr>
            <w:tcW w:w="3402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прессование, экструзия, литье под давлением</w:t>
            </w:r>
          </w:p>
        </w:tc>
      </w:tr>
      <w:tr w:rsidR="00DD242D" w:rsidRPr="00661CD6" w:rsidTr="00DD242D">
        <w:trPr>
          <w:trHeight w:val="329"/>
        </w:trPr>
        <w:tc>
          <w:tcPr>
            <w:tcW w:w="34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Плотность, кг/м</w:t>
            </w:r>
            <w:r w:rsidRPr="00661CD6">
              <w:rPr>
                <w:rFonts w:ascii="Times New Roman" w:eastAsia="Lucida Sans Unicode" w:hAnsi="Times New Roman"/>
                <w:color w:val="000000"/>
                <w:kern w:val="24"/>
                <w:lang w:val="en-US"/>
              </w:rPr>
              <w:t>³</w:t>
            </w:r>
            <w:r w:rsidRPr="00661CD6">
              <w:rPr>
                <w:rFonts w:ascii="Times New Roman" w:eastAsia="Lucida Sans Unicode" w:hAnsi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550-800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750-950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800-1100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1000-1200</w:t>
            </w:r>
          </w:p>
        </w:tc>
      </w:tr>
      <w:tr w:rsidR="00DD242D" w:rsidRPr="00661CD6" w:rsidTr="00DD242D">
        <w:trPr>
          <w:trHeight w:val="1160"/>
        </w:trPr>
        <w:tc>
          <w:tcPr>
            <w:tcW w:w="34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242D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Предел прочности</w:t>
            </w:r>
            <w:r w:rsidR="00DD242D">
              <w:rPr>
                <w:rFonts w:ascii="Times New Roman" w:hAnsi="Times New Roman"/>
                <w:color w:val="000000"/>
                <w:kern w:val="24"/>
              </w:rPr>
              <w:t>, МПа:</w:t>
            </w:r>
          </w:p>
          <w:p w:rsidR="00DD242D" w:rsidRDefault="00DD242D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color w:val="000000"/>
                <w:kern w:val="24"/>
              </w:rPr>
              <w:t>-</w:t>
            </w:r>
            <w:r w:rsidR="00661CD6" w:rsidRPr="00661CD6">
              <w:rPr>
                <w:rFonts w:ascii="Times New Roman" w:hAnsi="Times New Roman"/>
                <w:color w:val="000000"/>
                <w:kern w:val="24"/>
              </w:rPr>
              <w:t xml:space="preserve"> при изгибе</w:t>
            </w:r>
            <w:r>
              <w:rPr>
                <w:rFonts w:ascii="Times New Roman" w:hAnsi="Times New Roman"/>
                <w:color w:val="000000"/>
                <w:kern w:val="24"/>
              </w:rPr>
              <w:t>:</w:t>
            </w:r>
          </w:p>
          <w:p w:rsidR="00661CD6" w:rsidRDefault="00DD242D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color w:val="000000"/>
                <w:kern w:val="24"/>
              </w:rPr>
              <w:t xml:space="preserve">- при </w:t>
            </w:r>
            <w:r w:rsidR="00661CD6" w:rsidRPr="00661CD6">
              <w:rPr>
                <w:rFonts w:ascii="Times New Roman" w:hAnsi="Times New Roman"/>
                <w:color w:val="000000"/>
                <w:kern w:val="24"/>
              </w:rPr>
              <w:t>растяжении</w:t>
            </w:r>
            <w:r>
              <w:rPr>
                <w:rFonts w:ascii="Times New Roman" w:hAnsi="Times New Roman"/>
                <w:color w:val="000000"/>
                <w:kern w:val="24"/>
              </w:rPr>
              <w:t>:</w:t>
            </w:r>
          </w:p>
          <w:p w:rsidR="00661CD6" w:rsidRPr="00661CD6" w:rsidRDefault="00DD242D" w:rsidP="00DD242D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kern w:val="24"/>
              </w:rPr>
              <w:t xml:space="preserve">- при </w:t>
            </w:r>
            <w:r w:rsidR="00661CD6" w:rsidRPr="00661CD6">
              <w:rPr>
                <w:rFonts w:ascii="Times New Roman" w:hAnsi="Times New Roman"/>
                <w:color w:val="000000"/>
                <w:kern w:val="24"/>
              </w:rPr>
              <w:t>сжатии</w:t>
            </w:r>
            <w:r>
              <w:rPr>
                <w:rFonts w:ascii="Times New Roman" w:hAnsi="Times New Roman"/>
                <w:color w:val="000000"/>
                <w:kern w:val="24"/>
              </w:rPr>
              <w:t>: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242D" w:rsidRDefault="00DD242D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13,5-20</w:t>
            </w: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0,3-0,35</w:t>
            </w: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10-20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242D" w:rsidRDefault="00DD242D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25-40</w:t>
            </w: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0,4-0,5</w:t>
            </w: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242D" w:rsidRDefault="00DD242D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  <w:color w:val="000000"/>
                <w:kern w:val="24"/>
              </w:rPr>
            </w:pP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15-20</w:t>
            </w: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4-7</w:t>
            </w: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15-20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242D" w:rsidRDefault="00DD242D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  <w:b/>
                <w:bCs/>
                <w:color w:val="000000"/>
                <w:kern w:val="24"/>
              </w:rPr>
            </w:pP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b/>
                <w:bCs/>
                <w:color w:val="000000"/>
                <w:kern w:val="24"/>
              </w:rPr>
              <w:t>25-45</w:t>
            </w: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b/>
                <w:bCs/>
                <w:color w:val="000000"/>
                <w:kern w:val="24"/>
              </w:rPr>
              <w:t>8-10</w:t>
            </w:r>
          </w:p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b/>
                <w:bCs/>
                <w:color w:val="000000"/>
                <w:kern w:val="24"/>
              </w:rPr>
              <w:t>23-25</w:t>
            </w:r>
          </w:p>
        </w:tc>
      </w:tr>
      <w:tr w:rsidR="00DD242D" w:rsidRPr="00661CD6" w:rsidTr="00DD242D">
        <w:trPr>
          <w:trHeight w:val="535"/>
        </w:trPr>
        <w:tc>
          <w:tcPr>
            <w:tcW w:w="34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Удельное сопротивление выдергиванию шурупов, Н/мм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150-200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60-200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150-200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200-250</w:t>
            </w:r>
          </w:p>
        </w:tc>
      </w:tr>
      <w:tr w:rsidR="00DD242D" w:rsidRPr="00661CD6" w:rsidTr="00DD242D">
        <w:trPr>
          <w:trHeight w:val="533"/>
        </w:trPr>
        <w:tc>
          <w:tcPr>
            <w:tcW w:w="34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Разбухание по толщине за 24 часа, %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22-33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20-30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до 5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b/>
                <w:bCs/>
                <w:color w:val="000000"/>
                <w:kern w:val="24"/>
              </w:rPr>
              <w:t>1-2</w:t>
            </w:r>
          </w:p>
        </w:tc>
      </w:tr>
      <w:tr w:rsidR="00DD242D" w:rsidRPr="00661CD6" w:rsidTr="00DD242D">
        <w:trPr>
          <w:trHeight w:val="533"/>
        </w:trPr>
        <w:tc>
          <w:tcPr>
            <w:tcW w:w="34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Водопоглощение за 24 часа, %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15-30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-</w:t>
            </w:r>
          </w:p>
        </w:tc>
        <w:tc>
          <w:tcPr>
            <w:tcW w:w="1843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до 12</w:t>
            </w:r>
          </w:p>
        </w:tc>
        <w:tc>
          <w:tcPr>
            <w:tcW w:w="155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b/>
                <w:bCs/>
                <w:color w:val="000000"/>
                <w:kern w:val="24"/>
              </w:rPr>
              <w:t>1-8</w:t>
            </w:r>
          </w:p>
        </w:tc>
      </w:tr>
      <w:tr w:rsidR="00661CD6" w:rsidRPr="00661CD6" w:rsidTr="00DD242D">
        <w:trPr>
          <w:trHeight w:val="535"/>
        </w:trPr>
        <w:tc>
          <w:tcPr>
            <w:tcW w:w="34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Коэффициент теплопроводности, Вт/мК</w:t>
            </w:r>
          </w:p>
        </w:tc>
        <w:tc>
          <w:tcPr>
            <w:tcW w:w="127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0,15</w:t>
            </w:r>
          </w:p>
        </w:tc>
        <w:tc>
          <w:tcPr>
            <w:tcW w:w="1134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-</w:t>
            </w:r>
          </w:p>
        </w:tc>
        <w:tc>
          <w:tcPr>
            <w:tcW w:w="3402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0,11-0,13</w:t>
            </w:r>
          </w:p>
        </w:tc>
      </w:tr>
      <w:tr w:rsidR="00661CD6" w:rsidRPr="00661CD6" w:rsidTr="00DD242D">
        <w:trPr>
          <w:trHeight w:val="533"/>
        </w:trPr>
        <w:tc>
          <w:tcPr>
            <w:tcW w:w="340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Способность к вторичной переработке</w:t>
            </w:r>
          </w:p>
        </w:tc>
        <w:tc>
          <w:tcPr>
            <w:tcW w:w="2409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color w:val="000000"/>
                <w:kern w:val="24"/>
              </w:rPr>
              <w:t>не перерабатываются</w:t>
            </w:r>
          </w:p>
        </w:tc>
        <w:tc>
          <w:tcPr>
            <w:tcW w:w="3402" w:type="dxa"/>
            <w:gridSpan w:val="2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61CD6" w:rsidRPr="00661CD6" w:rsidRDefault="00661CD6" w:rsidP="00661CD6">
            <w:pPr>
              <w:widowControl/>
              <w:kinsoku w:val="0"/>
              <w:overflowPunct w:val="0"/>
              <w:autoSpaceDE/>
              <w:autoSpaceDN/>
              <w:adjustRightInd/>
              <w:jc w:val="center"/>
              <w:textAlignment w:val="baseline"/>
              <w:rPr>
                <w:rFonts w:ascii="Times New Roman" w:hAnsi="Times New Roman"/>
              </w:rPr>
            </w:pPr>
            <w:r w:rsidRPr="00661CD6">
              <w:rPr>
                <w:rFonts w:ascii="Times New Roman" w:hAnsi="Times New Roman"/>
                <w:b/>
                <w:bCs/>
                <w:color w:val="000000"/>
                <w:kern w:val="24"/>
              </w:rPr>
              <w:t>перерабатываются вторично</w:t>
            </w:r>
          </w:p>
        </w:tc>
      </w:tr>
    </w:tbl>
    <w:p w:rsidR="00661CD6" w:rsidRDefault="00661CD6" w:rsidP="00661CD6">
      <w:pPr>
        <w:spacing w:line="360" w:lineRule="auto"/>
        <w:ind w:firstLine="567"/>
        <w:jc w:val="right"/>
        <w:rPr>
          <w:rFonts w:ascii="Times New Roman" w:hAnsi="Times New Roman"/>
          <w:bCs/>
          <w:sz w:val="28"/>
          <w:szCs w:val="28"/>
        </w:rPr>
      </w:pP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Однако применение ПВХ в качестве матрицы ДПК имеет следующие недостатки при реализации технологии:</w:t>
      </w:r>
    </w:p>
    <w:p w:rsidR="00661CD6" w:rsidRPr="00661CD6" w:rsidRDefault="00661CD6" w:rsidP="004F71C5">
      <w:pPr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низкая стойкость к энергетическим воздействиям;</w:t>
      </w:r>
    </w:p>
    <w:p w:rsidR="00661CD6" w:rsidRPr="00661CD6" w:rsidRDefault="00661CD6" w:rsidP="004F71C5">
      <w:pPr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 xml:space="preserve"> высокая вязкость расплава;</w:t>
      </w:r>
    </w:p>
    <w:p w:rsidR="00661CD6" w:rsidRPr="00661CD6" w:rsidRDefault="00661CD6" w:rsidP="004F71C5">
      <w:pPr>
        <w:numPr>
          <w:ilvl w:val="0"/>
          <w:numId w:val="4"/>
        </w:numPr>
        <w:tabs>
          <w:tab w:val="clear" w:pos="720"/>
          <w:tab w:val="num" w:pos="0"/>
        </w:tabs>
        <w:spacing w:line="360" w:lineRule="auto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 xml:space="preserve"> слабое адгезионное взаимодействие между древесной мукой и ПВХ, в связи с чем возможна невысокая степень наполнения (до 40 масс.%).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 xml:space="preserve">Ученым КГАСУ </w:t>
      </w:r>
      <w:r w:rsidR="00DD242D">
        <w:rPr>
          <w:rFonts w:ascii="Times New Roman" w:hAnsi="Times New Roman"/>
          <w:bCs/>
          <w:sz w:val="28"/>
          <w:szCs w:val="28"/>
        </w:rPr>
        <w:t xml:space="preserve">(д.т.н., проф. Абдрахманова Л.А., д.т.н., проф. Низамов Р.К., к.т.н. Бурнашев А.И., к.т.н. Ашрапов А.Х.) </w:t>
      </w:r>
      <w:r w:rsidRPr="00661CD6">
        <w:rPr>
          <w:rFonts w:ascii="Times New Roman" w:hAnsi="Times New Roman"/>
          <w:bCs/>
          <w:sz w:val="28"/>
          <w:szCs w:val="28"/>
        </w:rPr>
        <w:t xml:space="preserve">удалось устранить эти недостатки использованием связующих наноагентов, </w:t>
      </w:r>
      <w:r w:rsidR="00DD242D">
        <w:rPr>
          <w:rFonts w:ascii="Times New Roman" w:hAnsi="Times New Roman"/>
          <w:bCs/>
          <w:sz w:val="28"/>
          <w:szCs w:val="28"/>
        </w:rPr>
        <w:t xml:space="preserve">в качестве которых использованы кремнезоль и </w:t>
      </w:r>
      <w:r w:rsidRPr="00661CD6">
        <w:rPr>
          <w:rFonts w:ascii="Times New Roman" w:hAnsi="Times New Roman"/>
          <w:bCs/>
          <w:sz w:val="28"/>
          <w:szCs w:val="28"/>
        </w:rPr>
        <w:t>многослойные УНТ.</w:t>
      </w:r>
    </w:p>
    <w:p w:rsidR="00661CD6" w:rsidRPr="00DD242D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42D">
        <w:rPr>
          <w:rFonts w:ascii="Times New Roman" w:hAnsi="Times New Roman"/>
          <w:bCs/>
          <w:sz w:val="28"/>
          <w:szCs w:val="28"/>
        </w:rPr>
        <w:t xml:space="preserve">Основной технологичексий принцип реализации технологии - </w:t>
      </w:r>
      <w:r w:rsidRPr="00DD242D">
        <w:rPr>
          <w:rFonts w:ascii="Times New Roman" w:hAnsi="Times New Roman"/>
          <w:bCs/>
          <w:sz w:val="28"/>
          <w:szCs w:val="28"/>
        </w:rPr>
        <w:lastRenderedPageBreak/>
        <w:t>введение сверхмалых доз нанодобавок через древесный наполнитель!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 xml:space="preserve">На первом этапе получают наномомодифицированную древесную муку (совмещение с добавкой в центробежном смесителе+сушка) или гранулят (добавление к модифицированной древесной муке технологических добавок и переработка в 2-ухстадийном смесителе и экструдере). 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На втором этапе из гранулята экструзией получают профильно-погонажные изделия из ДПК-ПВХ.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Технические эффекты при введении кремнезоля заключались в: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- увеличении модуля деформации при растяжении с 700 до 1300 МПа;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- увеличении термостабильности с 82 до 105 мин;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- увеличении микротвердости;</w:t>
      </w:r>
    </w:p>
    <w:p w:rsidR="00661CD6" w:rsidRPr="00661CD6" w:rsidRDefault="00661CD6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661CD6">
        <w:rPr>
          <w:rFonts w:ascii="Times New Roman" w:hAnsi="Times New Roman"/>
          <w:bCs/>
          <w:sz w:val="28"/>
          <w:szCs w:val="28"/>
        </w:rPr>
        <w:t>- снижении горючести.</w:t>
      </w:r>
    </w:p>
    <w:p w:rsidR="001958C9" w:rsidRPr="001958C9" w:rsidRDefault="001958C9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1958C9">
        <w:rPr>
          <w:rFonts w:ascii="Times New Roman" w:hAnsi="Times New Roman"/>
          <w:bCs/>
          <w:sz w:val="28"/>
          <w:szCs w:val="28"/>
        </w:rPr>
        <w:t>В соответствии с общемировой практикой, наибольший потенциальный объем потребления полимерных композитов, конструкций и изделий из них находится в строительной индустрии, а российские компании производят достаточно широкий спектр продукции из полимерных композитов, пригодных для применения в строительстве. Однако объем потребления продукции российской композитной отрасли в строительстве в России составляет доли процентов (~ 6 - 7 тыс. тонн) от аналогичного мирового потребления.</w:t>
      </w:r>
    </w:p>
    <w:p w:rsidR="001958C9" w:rsidRPr="001958C9" w:rsidRDefault="001958C9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 w:rsidRPr="001958C9">
        <w:rPr>
          <w:rFonts w:ascii="Times New Roman" w:hAnsi="Times New Roman"/>
          <w:sz w:val="28"/>
          <w:szCs w:val="28"/>
          <w:u w:val="single"/>
        </w:rPr>
        <w:t>Проблемы внедрения ПКМ в строительстве:</w:t>
      </w:r>
    </w:p>
    <w:p w:rsidR="001958C9" w:rsidRPr="001958C9" w:rsidRDefault="001958C9" w:rsidP="004F71C5">
      <w:pPr>
        <w:numPr>
          <w:ilvl w:val="0"/>
          <w:numId w:val="6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58C9">
        <w:rPr>
          <w:rFonts w:ascii="Times New Roman" w:hAnsi="Times New Roman"/>
          <w:bCs/>
          <w:sz w:val="28"/>
          <w:szCs w:val="28"/>
        </w:rPr>
        <w:t>специалисты строительной индустрии:</w:t>
      </w:r>
    </w:p>
    <w:p w:rsidR="001958C9" w:rsidRPr="001958C9" w:rsidRDefault="001958C9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58C9">
        <w:rPr>
          <w:rFonts w:ascii="Times New Roman" w:hAnsi="Times New Roman"/>
          <w:sz w:val="28"/>
          <w:szCs w:val="28"/>
        </w:rPr>
        <w:t>- не обладают полной информацией о возможностях и характеристиках ПК, в том числе об уже реализованных проектах с их эффективным использованием;</w:t>
      </w:r>
    </w:p>
    <w:p w:rsidR="001958C9" w:rsidRPr="001958C9" w:rsidRDefault="001958C9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58C9">
        <w:rPr>
          <w:rFonts w:ascii="Times New Roman" w:hAnsi="Times New Roman"/>
          <w:sz w:val="28"/>
          <w:szCs w:val="28"/>
        </w:rPr>
        <w:t xml:space="preserve">- не имеют в полном объеме нормативно-технических документов, регламентирующих требования к производству и применению в строительстве полимерных композитов и изделий (конструкций) из них </w:t>
      </w:r>
      <w:r w:rsidRPr="001958C9">
        <w:rPr>
          <w:rFonts w:ascii="Times New Roman" w:hAnsi="Times New Roman"/>
          <w:sz w:val="28"/>
          <w:szCs w:val="28"/>
        </w:rPr>
        <w:lastRenderedPageBreak/>
        <w:t>(отсутствие необходимой НД);</w:t>
      </w:r>
    </w:p>
    <w:p w:rsidR="001958C9" w:rsidRPr="001958C9" w:rsidRDefault="001958C9" w:rsidP="004F71C5">
      <w:pPr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58C9">
        <w:rPr>
          <w:rFonts w:ascii="Times New Roman" w:hAnsi="Times New Roman"/>
          <w:bCs/>
          <w:sz w:val="28"/>
          <w:szCs w:val="28"/>
        </w:rPr>
        <w:t>незначительный опыт применения изделий из полимерных композитов</w:t>
      </w:r>
      <w:r w:rsidRPr="001958C9">
        <w:rPr>
          <w:rFonts w:ascii="Times New Roman" w:hAnsi="Times New Roman"/>
          <w:sz w:val="28"/>
          <w:szCs w:val="28"/>
        </w:rPr>
        <w:t>;</w:t>
      </w:r>
    </w:p>
    <w:p w:rsidR="001958C9" w:rsidRPr="001958C9" w:rsidRDefault="001958C9" w:rsidP="004F71C5">
      <w:pPr>
        <w:numPr>
          <w:ilvl w:val="0"/>
          <w:numId w:val="7"/>
        </w:numPr>
        <w:spacing w:line="36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58C9">
        <w:rPr>
          <w:rFonts w:ascii="Times New Roman" w:hAnsi="Times New Roman"/>
          <w:bCs/>
          <w:sz w:val="28"/>
          <w:szCs w:val="28"/>
        </w:rPr>
        <w:t xml:space="preserve">недостатки существующей системы Госзакупок, </w:t>
      </w:r>
      <w:r w:rsidRPr="001958C9">
        <w:rPr>
          <w:rFonts w:ascii="Times New Roman" w:hAnsi="Times New Roman"/>
          <w:sz w:val="28"/>
          <w:szCs w:val="28"/>
        </w:rPr>
        <w:t>отдающей в большинстве случаев предпочтения привычным, более дешевым, хотя и устаревшим, материалам и технологиям.</w:t>
      </w:r>
    </w:p>
    <w:p w:rsidR="001958C9" w:rsidRPr="001958C9" w:rsidRDefault="001958C9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58C9">
        <w:rPr>
          <w:rFonts w:ascii="Times New Roman" w:hAnsi="Times New Roman"/>
          <w:sz w:val="28"/>
          <w:szCs w:val="28"/>
        </w:rPr>
        <w:t xml:space="preserve">Деятельность </w:t>
      </w:r>
      <w:r w:rsidRPr="001958C9">
        <w:rPr>
          <w:rFonts w:ascii="Times New Roman" w:hAnsi="Times New Roman"/>
          <w:b/>
          <w:bCs/>
          <w:sz w:val="28"/>
          <w:szCs w:val="28"/>
        </w:rPr>
        <w:t xml:space="preserve">лаборатории Ускоренных климатических испытаний при КГАСУ </w:t>
      </w:r>
      <w:r w:rsidRPr="001958C9">
        <w:rPr>
          <w:rFonts w:ascii="Times New Roman" w:hAnsi="Times New Roman"/>
          <w:sz w:val="28"/>
          <w:szCs w:val="28"/>
        </w:rPr>
        <w:t xml:space="preserve">(руководитель – </w:t>
      </w:r>
      <w:r>
        <w:rPr>
          <w:rFonts w:ascii="Times New Roman" w:hAnsi="Times New Roman"/>
          <w:sz w:val="28"/>
          <w:szCs w:val="28"/>
        </w:rPr>
        <w:t xml:space="preserve">д.т.н., </w:t>
      </w:r>
      <w:r w:rsidRPr="001958C9">
        <w:rPr>
          <w:rFonts w:ascii="Times New Roman" w:hAnsi="Times New Roman"/>
          <w:sz w:val="28"/>
          <w:szCs w:val="28"/>
        </w:rPr>
        <w:t xml:space="preserve">проф. Сулейманов А.М.) направлена на решение части обозначенных проблем, а именно на </w:t>
      </w:r>
      <w:r w:rsidRPr="001958C9">
        <w:rPr>
          <w:rFonts w:ascii="Times New Roman" w:hAnsi="Times New Roman"/>
          <w:bCs/>
          <w:sz w:val="28"/>
          <w:szCs w:val="28"/>
        </w:rPr>
        <w:t>развитие методологического инструментария для прогнозирования долговечности ПКМ строительного назначения, включая разработку НТД.</w:t>
      </w:r>
    </w:p>
    <w:p w:rsidR="001958C9" w:rsidRPr="00174F58" w:rsidRDefault="001958C9" w:rsidP="004F71C5">
      <w:pPr>
        <w:pStyle w:val="western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74F58">
        <w:rPr>
          <w:color w:val="000000"/>
          <w:sz w:val="28"/>
          <w:szCs w:val="28"/>
        </w:rPr>
        <w:t xml:space="preserve">Разработаны теоретические основы прогнозирования и повышения долговечности пленочно-тканевых композитов </w:t>
      </w:r>
      <w:r>
        <w:rPr>
          <w:color w:val="000000"/>
          <w:sz w:val="28"/>
          <w:szCs w:val="28"/>
        </w:rPr>
        <w:t>(</w:t>
      </w:r>
      <w:r w:rsidRPr="00174F58">
        <w:rPr>
          <w:color w:val="000000"/>
          <w:sz w:val="28"/>
          <w:szCs w:val="28"/>
        </w:rPr>
        <w:t>ПТК</w:t>
      </w:r>
      <w:r>
        <w:rPr>
          <w:color w:val="000000"/>
          <w:sz w:val="28"/>
          <w:szCs w:val="28"/>
        </w:rPr>
        <w:t>)</w:t>
      </w:r>
      <w:r w:rsidRPr="00174F58">
        <w:rPr>
          <w:color w:val="000000"/>
          <w:sz w:val="28"/>
          <w:szCs w:val="28"/>
        </w:rPr>
        <w:t xml:space="preserve"> для мягких оболочек строительного назначения (воздухоопорные и тентовые сооружения).</w:t>
      </w:r>
    </w:p>
    <w:p w:rsidR="001958C9" w:rsidRPr="00174F58" w:rsidRDefault="001958C9" w:rsidP="004F71C5">
      <w:pPr>
        <w:pStyle w:val="western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74F58">
        <w:rPr>
          <w:color w:val="000000"/>
          <w:sz w:val="28"/>
          <w:szCs w:val="28"/>
        </w:rPr>
        <w:t>Разработана методология компьютерного моделирования процессов старения и разрушения ПТК, базирующаяся на содержательном и формальном моделировании.</w:t>
      </w:r>
    </w:p>
    <w:p w:rsidR="001958C9" w:rsidRPr="00174F58" w:rsidRDefault="001958C9" w:rsidP="004F71C5">
      <w:pPr>
        <w:pStyle w:val="western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74F58">
        <w:rPr>
          <w:color w:val="000000"/>
          <w:sz w:val="28"/>
          <w:szCs w:val="28"/>
        </w:rPr>
        <w:t>Разработаны математические модели процессов разрушения материалов ПТК, учитывающая структурную механику, вязкоупругие свойства и ползучесть полимерной матрицы композита, деструкцию и накопление в ней микроповреждений, а также интенсивность воздействия эксплуатационных факторов и атмосферостойкость самого материала.</w:t>
      </w:r>
    </w:p>
    <w:p w:rsidR="001958C9" w:rsidRPr="00174F58" w:rsidRDefault="001958C9" w:rsidP="004F71C5">
      <w:pPr>
        <w:pStyle w:val="western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74F58">
        <w:rPr>
          <w:color w:val="000000"/>
          <w:sz w:val="28"/>
          <w:szCs w:val="28"/>
        </w:rPr>
        <w:t xml:space="preserve">На основе проекционных математических методов разработана многомерная модель процессов, вызывающих изменение эксплуатационных свойств материалов ПТК, позволяющая выделить в больших массивах данных физико-механических параметров композита скрытые (латентные) переменные и анализировать связи, существующие в исследуемой системе, а также прогнозировать изменение свойств </w:t>
      </w:r>
      <w:r w:rsidRPr="00174F58">
        <w:rPr>
          <w:color w:val="000000"/>
          <w:sz w:val="28"/>
          <w:szCs w:val="28"/>
        </w:rPr>
        <w:lastRenderedPageBreak/>
        <w:t>материала, такие как прочность, модуль упругости, цвет, блеск, коэффициент светопропускания и др.</w:t>
      </w:r>
    </w:p>
    <w:p w:rsidR="001958C9" w:rsidRPr="00174F58" w:rsidRDefault="001958C9" w:rsidP="004F71C5">
      <w:pPr>
        <w:pStyle w:val="western"/>
        <w:shd w:val="clear" w:color="auto" w:fill="FFFFFF"/>
        <w:spacing w:before="0" w:beforeAutospacing="0" w:after="0" w:afterAutospacing="0" w:line="360" w:lineRule="auto"/>
        <w:ind w:firstLine="567"/>
        <w:jc w:val="both"/>
        <w:rPr>
          <w:color w:val="000000"/>
          <w:sz w:val="28"/>
          <w:szCs w:val="28"/>
        </w:rPr>
      </w:pPr>
      <w:r w:rsidRPr="00174F58">
        <w:rPr>
          <w:color w:val="000000"/>
          <w:sz w:val="28"/>
          <w:szCs w:val="28"/>
        </w:rPr>
        <w:t>Разработана структурно-имитационная модель материалов ПТК, которая позволяет рассчитывать и визуализировать кинетические процессы, происходящие в структурных составляющих композита в период эксплуатации: распределение напряженно-деформированного состояния, поврежденность и деструкцию. Модель позволяет рассчитывать долговечность ПТК при варьируемых геометрических и физико-механических параметрах структурных составляющих композита.</w:t>
      </w:r>
    </w:p>
    <w:p w:rsidR="004F71C5" w:rsidRDefault="004F71C5" w:rsidP="004F71C5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233ECA" w:rsidRDefault="00233ECA" w:rsidP="004F71C5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A7B0F">
        <w:rPr>
          <w:rFonts w:ascii="Times New Roman" w:hAnsi="Times New Roman"/>
          <w:b/>
          <w:sz w:val="28"/>
          <w:szCs w:val="28"/>
        </w:rPr>
        <w:t>Вы</w:t>
      </w:r>
      <w:r w:rsidR="002A7B0F" w:rsidRPr="002A7B0F">
        <w:rPr>
          <w:rFonts w:ascii="Times New Roman" w:hAnsi="Times New Roman"/>
          <w:b/>
          <w:sz w:val="28"/>
          <w:szCs w:val="28"/>
        </w:rPr>
        <w:t>в</w:t>
      </w:r>
      <w:r w:rsidRPr="002A7B0F">
        <w:rPr>
          <w:rFonts w:ascii="Times New Roman" w:hAnsi="Times New Roman"/>
          <w:b/>
          <w:sz w:val="28"/>
          <w:szCs w:val="28"/>
        </w:rPr>
        <w:t>оды</w:t>
      </w:r>
    </w:p>
    <w:p w:rsidR="0042710B" w:rsidRDefault="0042710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Pr="001958C9">
        <w:rPr>
          <w:rFonts w:ascii="Times New Roman" w:hAnsi="Times New Roman"/>
          <w:bCs/>
          <w:sz w:val="28"/>
          <w:szCs w:val="28"/>
        </w:rPr>
        <w:t>бъем потребления продукции российской композитной отрасли в строительстве в России составляет доли процентов от аналогичного мирового потребления</w:t>
      </w:r>
      <w:r>
        <w:rPr>
          <w:rFonts w:ascii="Times New Roman" w:hAnsi="Times New Roman"/>
          <w:bCs/>
          <w:sz w:val="28"/>
          <w:szCs w:val="28"/>
        </w:rPr>
        <w:t>, хотя существуют перспективные разработки, а российские компании производят достаточно широкий спектр полимерных композитов, которые могут эффективно использоваться в строительной индустрии.</w:t>
      </w:r>
    </w:p>
    <w:p w:rsidR="0042710B" w:rsidRPr="001958C9" w:rsidRDefault="0042710B" w:rsidP="004F71C5">
      <w:pPr>
        <w:spacing w:line="36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Для увеличения объемов производства и потребления ПКМ в строительстве необходимо не только разрабатывать материалы, соответствующие по уровню характеристик мировым аналогам, но и развивать методологическую базу испытаний изделий и конструкций ПКМ, совершенствовать методики расчета и систему государственных закупок.</w:t>
      </w:r>
    </w:p>
    <w:p w:rsidR="001958C9" w:rsidRPr="0042710B" w:rsidRDefault="001958C9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2710B" w:rsidRPr="0042710B" w:rsidRDefault="0042710B" w:rsidP="004F71C5">
      <w:pPr>
        <w:spacing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2710B">
        <w:rPr>
          <w:rFonts w:ascii="Times New Roman" w:hAnsi="Times New Roman"/>
          <w:b/>
          <w:sz w:val="28"/>
          <w:szCs w:val="28"/>
        </w:rPr>
        <w:t>Литература:</w:t>
      </w:r>
    </w:p>
    <w:p w:rsidR="0042710B" w:rsidRPr="0042710B" w:rsidRDefault="0042710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10B">
        <w:rPr>
          <w:rFonts w:ascii="Times New Roman" w:hAnsi="Times New Roman"/>
          <w:sz w:val="28"/>
          <w:szCs w:val="28"/>
        </w:rPr>
        <w:t>1. Композиты укрепляют экономику / «Expert online», 5 авг. 2014 года.</w:t>
      </w:r>
    </w:p>
    <w:p w:rsidR="00174F58" w:rsidRPr="0042710B" w:rsidRDefault="0042710B" w:rsidP="004F71C5">
      <w:pPr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2710B">
        <w:rPr>
          <w:rFonts w:ascii="Times New Roman" w:hAnsi="Times New Roman"/>
          <w:sz w:val="28"/>
          <w:szCs w:val="28"/>
        </w:rPr>
        <w:t>2. Каблов Е.Н. Композиты: сегодня и завтра /Наука и технологии, 2015. – С.36-39.</w:t>
      </w:r>
    </w:p>
    <w:p w:rsidR="00174F58" w:rsidRPr="0042710B" w:rsidRDefault="00174F58">
      <w:pPr>
        <w:rPr>
          <w:rFonts w:ascii="Times New Roman" w:hAnsi="Times New Roman"/>
          <w:sz w:val="28"/>
          <w:szCs w:val="28"/>
        </w:rPr>
      </w:pPr>
    </w:p>
    <w:sectPr w:rsidR="00174F58" w:rsidRPr="0042710B" w:rsidSect="00174F58"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540C" w:rsidRDefault="00F3540C" w:rsidP="004F71C5">
      <w:r>
        <w:separator/>
      </w:r>
    </w:p>
  </w:endnote>
  <w:endnote w:type="continuationSeparator" w:id="1">
    <w:p w:rsidR="00F3540C" w:rsidRDefault="00F3540C" w:rsidP="004F71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20596"/>
      <w:docPartObj>
        <w:docPartGallery w:val="Page Numbers (Bottom of Page)"/>
        <w:docPartUnique/>
      </w:docPartObj>
    </w:sdtPr>
    <w:sdtContent>
      <w:p w:rsidR="004F71C5" w:rsidRDefault="004F71C5">
        <w:pPr>
          <w:pStyle w:val="a8"/>
          <w:jc w:val="center"/>
        </w:pPr>
        <w:fldSimple w:instr=" PAGE   \* MERGEFORMAT ">
          <w:r>
            <w:rPr>
              <w:noProof/>
            </w:rPr>
            <w:t>10</w:t>
          </w:r>
        </w:fldSimple>
      </w:p>
    </w:sdtContent>
  </w:sdt>
  <w:p w:rsidR="004F71C5" w:rsidRDefault="004F71C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540C" w:rsidRDefault="00F3540C" w:rsidP="004F71C5">
      <w:r>
        <w:separator/>
      </w:r>
    </w:p>
  </w:footnote>
  <w:footnote w:type="continuationSeparator" w:id="1">
    <w:p w:rsidR="00F3540C" w:rsidRDefault="00F3540C" w:rsidP="004F71C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CB33B2"/>
    <w:multiLevelType w:val="hybridMultilevel"/>
    <w:tmpl w:val="C0A8A2EC"/>
    <w:lvl w:ilvl="0" w:tplc="AF106B8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B43AB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80067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46064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1C290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5E68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64A59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E83A9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B6CF35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EF23864"/>
    <w:multiLevelType w:val="hybridMultilevel"/>
    <w:tmpl w:val="10E2F24A"/>
    <w:lvl w:ilvl="0" w:tplc="B83EB7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62DE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7CD24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CF4835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FC70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9A137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5010A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7688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663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A073BF3"/>
    <w:multiLevelType w:val="hybridMultilevel"/>
    <w:tmpl w:val="44B2B284"/>
    <w:lvl w:ilvl="0" w:tplc="E47CE3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B09E9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92C52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D1E8F3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74844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B44AB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4301C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8B53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434E03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551F41CE"/>
    <w:multiLevelType w:val="multilevel"/>
    <w:tmpl w:val="6CF68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7B872E1"/>
    <w:multiLevelType w:val="hybridMultilevel"/>
    <w:tmpl w:val="E55EC564"/>
    <w:lvl w:ilvl="0" w:tplc="0162861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6E6B1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D048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010640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4C018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90EF00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3A8339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2049F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CACA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8EB3F59"/>
    <w:multiLevelType w:val="hybridMultilevel"/>
    <w:tmpl w:val="E50A70AE"/>
    <w:lvl w:ilvl="0" w:tplc="42A2D2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5A1F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AF5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2E0A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FAD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4440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98E1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B24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0DF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74C44841"/>
    <w:multiLevelType w:val="multilevel"/>
    <w:tmpl w:val="50868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2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74F58"/>
    <w:rsid w:val="000E5B54"/>
    <w:rsid w:val="00174F58"/>
    <w:rsid w:val="001958C9"/>
    <w:rsid w:val="001B2184"/>
    <w:rsid w:val="00233ECA"/>
    <w:rsid w:val="00251C62"/>
    <w:rsid w:val="002A7B0F"/>
    <w:rsid w:val="00386E94"/>
    <w:rsid w:val="003B5E3C"/>
    <w:rsid w:val="0042710B"/>
    <w:rsid w:val="004F71C5"/>
    <w:rsid w:val="0059231C"/>
    <w:rsid w:val="00661CD6"/>
    <w:rsid w:val="00774D44"/>
    <w:rsid w:val="00777F73"/>
    <w:rsid w:val="00867C97"/>
    <w:rsid w:val="00893246"/>
    <w:rsid w:val="009B749D"/>
    <w:rsid w:val="009F7708"/>
    <w:rsid w:val="00A672DB"/>
    <w:rsid w:val="00AB4E0E"/>
    <w:rsid w:val="00C5051B"/>
    <w:rsid w:val="00DD242D"/>
    <w:rsid w:val="00F3540C"/>
    <w:rsid w:val="00F8056E"/>
    <w:rsid w:val="00F92216"/>
    <w:rsid w:val="00FA10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D44"/>
    <w:pPr>
      <w:widowControl w:val="0"/>
      <w:autoSpaceDE w:val="0"/>
      <w:autoSpaceDN w:val="0"/>
      <w:adjustRightInd w:val="0"/>
    </w:pPr>
    <w:rPr>
      <w:rFonts w:hAnsi="Arial Narrow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4F5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customStyle="1" w:styleId="western">
    <w:name w:val="western"/>
    <w:basedOn w:val="a"/>
    <w:rsid w:val="00174F58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styleId="a4">
    <w:name w:val="Hyperlink"/>
    <w:basedOn w:val="a0"/>
    <w:uiPriority w:val="99"/>
    <w:unhideWhenUsed/>
    <w:rsid w:val="00174F58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9231C"/>
    <w:pPr>
      <w:widowControl/>
      <w:autoSpaceDE/>
      <w:autoSpaceDN/>
      <w:adjustRightInd/>
      <w:ind w:left="720"/>
      <w:contextualSpacing/>
    </w:pPr>
    <w:rPr>
      <w:rFonts w:ascii="Times New Roman" w:hAnsi="Times New Roman"/>
    </w:rPr>
  </w:style>
  <w:style w:type="paragraph" w:styleId="a6">
    <w:name w:val="header"/>
    <w:basedOn w:val="a"/>
    <w:link w:val="a7"/>
    <w:uiPriority w:val="99"/>
    <w:semiHidden/>
    <w:unhideWhenUsed/>
    <w:rsid w:val="004F71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F71C5"/>
    <w:rPr>
      <w:rFonts w:hAnsi="Arial Narrow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4F71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F71C5"/>
    <w:rPr>
      <w:rFonts w:hAnsi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769973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613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669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540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ulejmanov@kgas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7052DF-93BB-4958-9401-1CBDA94A0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12</Pages>
  <Words>2560</Words>
  <Characters>14592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17118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Dimsol</dc:creator>
  <cp:keywords/>
  <dc:description/>
  <cp:lastModifiedBy>Пользователь Windows</cp:lastModifiedBy>
  <cp:revision>8</cp:revision>
  <dcterms:created xsi:type="dcterms:W3CDTF">2015-09-08T07:08:00Z</dcterms:created>
  <dcterms:modified xsi:type="dcterms:W3CDTF">2015-11-05T14:19:00Z</dcterms:modified>
</cp:coreProperties>
</file>